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F9CA" w14:textId="77777777" w:rsidR="00B43BDE" w:rsidRPr="00381CCA" w:rsidRDefault="00B43BDE" w:rsidP="00B43BDE">
      <w:pPr>
        <w:pStyle w:val="PlainText"/>
        <w:jc w:val="center"/>
        <w:rPr>
          <w:rFonts w:ascii="Times New Roman" w:hAnsi="Times New Roman" w:cs="Times New Roman"/>
          <w:b/>
        </w:rPr>
      </w:pPr>
      <w:r w:rsidRPr="00381CCA">
        <w:rPr>
          <w:rFonts w:ascii="Times New Roman" w:hAnsi="Times New Roman" w:cs="Times New Roman"/>
          <w:b/>
        </w:rPr>
        <w:t xml:space="preserve">OFFICIAL COORDINATION REQUEST FOR </w:t>
      </w:r>
    </w:p>
    <w:p w14:paraId="70DC64DD" w14:textId="77777777" w:rsidR="00B43BDE" w:rsidRPr="00381CCA" w:rsidRDefault="00B43BDE" w:rsidP="00B43BDE">
      <w:pPr>
        <w:pStyle w:val="PlainText"/>
        <w:jc w:val="center"/>
        <w:rPr>
          <w:rFonts w:ascii="Times New Roman" w:hAnsi="Times New Roman" w:cs="Times New Roman"/>
          <w:b/>
        </w:rPr>
      </w:pPr>
      <w:r w:rsidRPr="00381CCA">
        <w:rPr>
          <w:rFonts w:ascii="Times New Roman" w:hAnsi="Times New Roman" w:cs="Times New Roman"/>
          <w:b/>
        </w:rPr>
        <w:t>NON-ROUTINE OPERATIONS AND MAINTENANCE</w:t>
      </w:r>
    </w:p>
    <w:p w14:paraId="5216721D" w14:textId="77777777" w:rsidR="00B43BDE" w:rsidRPr="00381CCA" w:rsidRDefault="00B43BDE" w:rsidP="00B43BDE">
      <w:pPr>
        <w:pStyle w:val="PlainText"/>
        <w:rPr>
          <w:rFonts w:ascii="Times New Roman" w:hAnsi="Times New Roman" w:cs="Times New Roman"/>
          <w:b/>
        </w:rPr>
      </w:pPr>
    </w:p>
    <w:p w14:paraId="422497E1" w14:textId="77777777" w:rsidR="00B43BDE" w:rsidRPr="00381CCA" w:rsidRDefault="00B43BDE" w:rsidP="00B43BDE">
      <w:pPr>
        <w:pStyle w:val="PlainText"/>
        <w:rPr>
          <w:rFonts w:ascii="Times New Roman" w:hAnsi="Times New Roman" w:cs="Times New Roman"/>
          <w:b/>
        </w:rPr>
      </w:pPr>
    </w:p>
    <w:p w14:paraId="10E3684F" w14:textId="0759F218" w:rsidR="00650AFF" w:rsidRPr="00381CCA" w:rsidRDefault="00650AFF" w:rsidP="00B43BDE">
      <w:pPr>
        <w:pStyle w:val="PlainText"/>
        <w:rPr>
          <w:rFonts w:ascii="Times New Roman" w:hAnsi="Times New Roman" w:cs="Times New Roman"/>
          <w:i/>
        </w:rPr>
      </w:pPr>
      <w:r w:rsidRPr="00381CCA">
        <w:rPr>
          <w:rFonts w:ascii="Times New Roman" w:hAnsi="Times New Roman" w:cs="Times New Roman"/>
          <w:b/>
        </w:rPr>
        <w:t xml:space="preserve">COORDINATION TITLE- </w:t>
      </w:r>
      <w:r w:rsidR="00023A76" w:rsidRPr="00381CCA">
        <w:rPr>
          <w:rFonts w:ascii="Times New Roman" w:hAnsi="Times New Roman" w:cs="Times New Roman"/>
          <w:b/>
        </w:rPr>
        <w:t>2</w:t>
      </w:r>
      <w:r w:rsidR="00F32487">
        <w:rPr>
          <w:rFonts w:ascii="Times New Roman" w:hAnsi="Times New Roman" w:cs="Times New Roman"/>
          <w:b/>
        </w:rPr>
        <w:t>3</w:t>
      </w:r>
      <w:r w:rsidR="00023A76" w:rsidRPr="00381CCA">
        <w:rPr>
          <w:rFonts w:ascii="Times New Roman" w:hAnsi="Times New Roman" w:cs="Times New Roman"/>
          <w:b/>
        </w:rPr>
        <w:t>BON0</w:t>
      </w:r>
      <w:r w:rsidR="0054105C">
        <w:rPr>
          <w:rFonts w:ascii="Times New Roman" w:hAnsi="Times New Roman" w:cs="Times New Roman"/>
          <w:b/>
        </w:rPr>
        <w:t>02</w:t>
      </w:r>
      <w:r w:rsidR="00023A76" w:rsidRPr="00381CCA">
        <w:rPr>
          <w:rFonts w:ascii="Times New Roman" w:hAnsi="Times New Roman" w:cs="Times New Roman"/>
          <w:b/>
        </w:rPr>
        <w:t xml:space="preserve"> ITS End Gate Installation</w:t>
      </w:r>
    </w:p>
    <w:p w14:paraId="7F2562CE" w14:textId="301DC4F0" w:rsidR="00B43BDE" w:rsidRPr="00381CCA" w:rsidRDefault="00B43BDE" w:rsidP="00B43BDE">
      <w:pPr>
        <w:pStyle w:val="PlainText"/>
        <w:rPr>
          <w:rFonts w:ascii="Times New Roman" w:hAnsi="Times New Roman" w:cs="Times New Roman"/>
          <w:b/>
        </w:rPr>
      </w:pPr>
      <w:r w:rsidRPr="00381CCA">
        <w:rPr>
          <w:rFonts w:ascii="Times New Roman" w:hAnsi="Times New Roman" w:cs="Times New Roman"/>
          <w:b/>
        </w:rPr>
        <w:t xml:space="preserve">COORDINATION DATE- </w:t>
      </w:r>
      <w:r w:rsidR="00F32487">
        <w:rPr>
          <w:rFonts w:ascii="Times New Roman" w:hAnsi="Times New Roman" w:cs="Times New Roman"/>
          <w:b/>
        </w:rPr>
        <w:t>12 January 2023</w:t>
      </w:r>
    </w:p>
    <w:p w14:paraId="584C7D4F" w14:textId="37880D85" w:rsidR="00B43BDE" w:rsidRPr="00381CCA" w:rsidRDefault="00B43BDE" w:rsidP="00B43BDE">
      <w:pPr>
        <w:pStyle w:val="PlainText"/>
        <w:rPr>
          <w:rFonts w:ascii="Times New Roman" w:hAnsi="Times New Roman" w:cs="Times New Roman"/>
          <w:bCs/>
        </w:rPr>
      </w:pPr>
      <w:r w:rsidRPr="00381CCA">
        <w:rPr>
          <w:rFonts w:ascii="Times New Roman" w:hAnsi="Times New Roman" w:cs="Times New Roman"/>
          <w:b/>
        </w:rPr>
        <w:t>PROJECT-</w:t>
      </w:r>
      <w:r w:rsidR="00B4247A" w:rsidRPr="00381CCA">
        <w:rPr>
          <w:rFonts w:ascii="Times New Roman" w:hAnsi="Times New Roman" w:cs="Times New Roman"/>
          <w:b/>
        </w:rPr>
        <w:t xml:space="preserve"> </w:t>
      </w:r>
      <w:r w:rsidR="00023A76" w:rsidRPr="00381CCA">
        <w:rPr>
          <w:rFonts w:ascii="Times New Roman" w:hAnsi="Times New Roman" w:cs="Times New Roman"/>
          <w:bCs/>
        </w:rPr>
        <w:t>Bonneville Lock and Dam Powerhouse 1</w:t>
      </w:r>
    </w:p>
    <w:p w14:paraId="09701EF0" w14:textId="257985D9" w:rsidR="00B43BDE" w:rsidRPr="00381CCA" w:rsidRDefault="00B43BDE" w:rsidP="00B43BDE">
      <w:pPr>
        <w:pStyle w:val="PlainText"/>
        <w:rPr>
          <w:rFonts w:ascii="Times New Roman" w:hAnsi="Times New Roman" w:cs="Times New Roman"/>
          <w:b/>
        </w:rPr>
      </w:pPr>
      <w:r w:rsidRPr="00381CCA">
        <w:rPr>
          <w:rFonts w:ascii="Times New Roman" w:hAnsi="Times New Roman" w:cs="Times New Roman"/>
          <w:b/>
        </w:rPr>
        <w:t>RESPONSE DATE-</w:t>
      </w:r>
      <w:r w:rsidR="009827E8" w:rsidRPr="00381CCA">
        <w:rPr>
          <w:rFonts w:ascii="Times New Roman" w:hAnsi="Times New Roman" w:cs="Times New Roman"/>
          <w:b/>
        </w:rPr>
        <w:t xml:space="preserve"> </w:t>
      </w:r>
      <w:r w:rsidR="00F32487">
        <w:rPr>
          <w:rFonts w:ascii="Times New Roman" w:hAnsi="Times New Roman" w:cs="Times New Roman"/>
          <w:b/>
        </w:rPr>
        <w:t>26 January 2023</w:t>
      </w:r>
    </w:p>
    <w:p w14:paraId="2D5F8B7F" w14:textId="77777777" w:rsidR="00B43BDE" w:rsidRPr="00381CCA" w:rsidRDefault="00B43BDE" w:rsidP="00B43BDE">
      <w:pPr>
        <w:pStyle w:val="PlainText"/>
        <w:rPr>
          <w:rFonts w:ascii="Times New Roman" w:hAnsi="Times New Roman" w:cs="Times New Roman"/>
          <w:b/>
        </w:rPr>
      </w:pPr>
    </w:p>
    <w:p w14:paraId="4577445A" w14:textId="3C1870B5" w:rsidR="00B43BDE" w:rsidRPr="00381CCA" w:rsidRDefault="00B43BDE" w:rsidP="00B43BDE">
      <w:pPr>
        <w:pStyle w:val="PlainText"/>
        <w:rPr>
          <w:rFonts w:ascii="Times New Roman" w:hAnsi="Times New Roman" w:cs="Times New Roman"/>
          <w:b/>
        </w:rPr>
      </w:pPr>
      <w:r w:rsidRPr="00381CCA">
        <w:rPr>
          <w:rFonts w:ascii="Times New Roman" w:hAnsi="Times New Roman" w:cs="Times New Roman"/>
          <w:b/>
        </w:rPr>
        <w:t>Description of the problem</w:t>
      </w:r>
      <w:r w:rsidR="007B6532" w:rsidRPr="00381CCA">
        <w:rPr>
          <w:rFonts w:ascii="Times New Roman" w:hAnsi="Times New Roman" w:cs="Times New Roman"/>
          <w:b/>
        </w:rPr>
        <w:t xml:space="preserve"> </w:t>
      </w:r>
      <w:r w:rsidR="00023A76" w:rsidRPr="00381CCA">
        <w:rPr>
          <w:rFonts w:ascii="Times New Roman" w:hAnsi="Times New Roman" w:cs="Times New Roman"/>
          <w:b/>
        </w:rPr>
        <w:t>–</w:t>
      </w:r>
      <w:r w:rsidR="007B6532" w:rsidRPr="00381CCA">
        <w:rPr>
          <w:rFonts w:ascii="Times New Roman" w:hAnsi="Times New Roman" w:cs="Times New Roman"/>
          <w:b/>
        </w:rPr>
        <w:t xml:space="preserve"> </w:t>
      </w:r>
      <w:r w:rsidR="00F32487">
        <w:rPr>
          <w:rFonts w:ascii="Times New Roman" w:hAnsi="Times New Roman" w:cs="Times New Roman"/>
          <w:b/>
        </w:rPr>
        <w:t>originally coordinated in MOC 22BON095.</w:t>
      </w:r>
    </w:p>
    <w:p w14:paraId="4C721CF3" w14:textId="77777777" w:rsidR="00023A76" w:rsidRPr="00381CCA" w:rsidRDefault="00023A76" w:rsidP="00023A76">
      <w:pPr>
        <w:pStyle w:val="Default"/>
        <w:rPr>
          <w:sz w:val="20"/>
          <w:szCs w:val="20"/>
        </w:rPr>
      </w:pPr>
    </w:p>
    <w:p w14:paraId="38BF19EC" w14:textId="6A56F0E1" w:rsidR="00023A76" w:rsidRDefault="00023A76" w:rsidP="00381CCA">
      <w:pPr>
        <w:pStyle w:val="Default"/>
        <w:rPr>
          <w:sz w:val="20"/>
          <w:szCs w:val="20"/>
        </w:rPr>
      </w:pPr>
      <w:r w:rsidRPr="00381CCA">
        <w:rPr>
          <w:sz w:val="20"/>
          <w:szCs w:val="20"/>
        </w:rPr>
        <w:t xml:space="preserve">The ice and trash sluiceway (ITS) at Bonneville’s Powerhouse </w:t>
      </w:r>
      <w:r w:rsidR="00381CCA">
        <w:rPr>
          <w:sz w:val="20"/>
          <w:szCs w:val="20"/>
        </w:rPr>
        <w:t>1 (PH1)</w:t>
      </w:r>
      <w:r w:rsidRPr="00381CCA">
        <w:rPr>
          <w:sz w:val="20"/>
          <w:szCs w:val="20"/>
        </w:rPr>
        <w:t xml:space="preserve"> experienced a south end gate failure on 30 December 2018. The gate cables were frayed, and the guide wheels were either sheared off or damaged. The gate was removed for repairs, the gate guide slot was plated over, and the ITS returned to service until repairs could be completed and the gate reinstalled.  The end gate allows the project to close the sluiceway in the event of an emergency and to float large woody debris free of the channel when it becomes at fish passage obstacle.  </w:t>
      </w:r>
    </w:p>
    <w:p w14:paraId="2463C58D" w14:textId="229E7596" w:rsidR="00361794" w:rsidRDefault="00361794" w:rsidP="00381CCA">
      <w:pPr>
        <w:pStyle w:val="Default"/>
        <w:rPr>
          <w:sz w:val="20"/>
          <w:szCs w:val="20"/>
        </w:rPr>
      </w:pPr>
    </w:p>
    <w:p w14:paraId="3411BA48" w14:textId="23A6DC29" w:rsidR="00361794" w:rsidRPr="00381CCA" w:rsidRDefault="00361794" w:rsidP="00381CCA">
      <w:pPr>
        <w:pStyle w:val="Default"/>
        <w:rPr>
          <w:sz w:val="20"/>
          <w:szCs w:val="20"/>
        </w:rPr>
      </w:pPr>
      <w:r>
        <w:rPr>
          <w:sz w:val="20"/>
          <w:szCs w:val="20"/>
        </w:rPr>
        <w:t xml:space="preserve">Bonneville is scheduled to receive the new gate at the end of </w:t>
      </w:r>
      <w:r w:rsidR="0097000B">
        <w:rPr>
          <w:sz w:val="20"/>
          <w:szCs w:val="20"/>
        </w:rPr>
        <w:t>March</w:t>
      </w:r>
      <w:r>
        <w:rPr>
          <w:sz w:val="20"/>
          <w:szCs w:val="20"/>
        </w:rPr>
        <w:t xml:space="preserve"> 202</w:t>
      </w:r>
      <w:r w:rsidR="0097000B">
        <w:rPr>
          <w:sz w:val="20"/>
          <w:szCs w:val="20"/>
        </w:rPr>
        <w:t>3</w:t>
      </w:r>
      <w:r w:rsidR="00DB3933">
        <w:rPr>
          <w:sz w:val="20"/>
          <w:szCs w:val="20"/>
        </w:rPr>
        <w:t xml:space="preserve"> a</w:t>
      </w:r>
      <w:r>
        <w:rPr>
          <w:sz w:val="20"/>
          <w:szCs w:val="20"/>
        </w:rPr>
        <w:t xml:space="preserve">nd </w:t>
      </w:r>
      <w:r w:rsidR="00DB3933">
        <w:rPr>
          <w:sz w:val="20"/>
          <w:szCs w:val="20"/>
        </w:rPr>
        <w:t>is planning to</w:t>
      </w:r>
      <w:r w:rsidR="0097000B">
        <w:rPr>
          <w:sz w:val="20"/>
          <w:szCs w:val="20"/>
        </w:rPr>
        <w:t xml:space="preserve"> start</w:t>
      </w:r>
      <w:r w:rsidR="00DB3933">
        <w:rPr>
          <w:sz w:val="20"/>
          <w:szCs w:val="20"/>
        </w:rPr>
        <w:t xml:space="preserve"> install</w:t>
      </w:r>
      <w:r w:rsidR="0097000B">
        <w:rPr>
          <w:sz w:val="20"/>
          <w:szCs w:val="20"/>
        </w:rPr>
        <w:t xml:space="preserve"> in the beginning of </w:t>
      </w:r>
      <w:r w:rsidR="00184D5F">
        <w:rPr>
          <w:sz w:val="20"/>
          <w:szCs w:val="20"/>
        </w:rPr>
        <w:t>October</w:t>
      </w:r>
      <w:r w:rsidR="0097000B">
        <w:rPr>
          <w:sz w:val="20"/>
          <w:szCs w:val="20"/>
        </w:rPr>
        <w:t xml:space="preserve"> 2023</w:t>
      </w:r>
      <w:r w:rsidR="00DB3933">
        <w:rPr>
          <w:sz w:val="20"/>
          <w:szCs w:val="20"/>
        </w:rPr>
        <w:t xml:space="preserve">.  </w:t>
      </w:r>
      <w:r w:rsidR="00F6261B">
        <w:rPr>
          <w:sz w:val="20"/>
          <w:szCs w:val="20"/>
        </w:rPr>
        <w:t xml:space="preserve">Bonneville would like to start installing bulkheads the week of </w:t>
      </w:r>
      <w:r w:rsidR="00184D5F">
        <w:rPr>
          <w:sz w:val="20"/>
          <w:szCs w:val="20"/>
        </w:rPr>
        <w:t>October</w:t>
      </w:r>
      <w:r w:rsidR="0097000B">
        <w:rPr>
          <w:sz w:val="20"/>
          <w:szCs w:val="20"/>
        </w:rPr>
        <w:t xml:space="preserve"> 2</w:t>
      </w:r>
      <w:r w:rsidR="00184D5F" w:rsidRPr="00184D5F">
        <w:rPr>
          <w:sz w:val="20"/>
          <w:szCs w:val="20"/>
          <w:vertAlign w:val="superscript"/>
        </w:rPr>
        <w:t>nd</w:t>
      </w:r>
      <w:r w:rsidR="00184D5F">
        <w:rPr>
          <w:sz w:val="20"/>
          <w:szCs w:val="20"/>
        </w:rPr>
        <w:t xml:space="preserve"> </w:t>
      </w:r>
      <w:r w:rsidR="0097000B">
        <w:rPr>
          <w:sz w:val="20"/>
          <w:szCs w:val="20"/>
        </w:rPr>
        <w:t xml:space="preserve">Water up is scheduled for </w:t>
      </w:r>
      <w:r w:rsidR="00184D5F">
        <w:rPr>
          <w:sz w:val="20"/>
          <w:szCs w:val="20"/>
        </w:rPr>
        <w:t>October</w:t>
      </w:r>
      <w:r w:rsidR="0097000B">
        <w:rPr>
          <w:sz w:val="20"/>
          <w:szCs w:val="20"/>
        </w:rPr>
        <w:t xml:space="preserve"> 2</w:t>
      </w:r>
      <w:r w:rsidR="00184D5F">
        <w:rPr>
          <w:sz w:val="20"/>
          <w:szCs w:val="20"/>
        </w:rPr>
        <w:t>3</w:t>
      </w:r>
      <w:r w:rsidR="00184D5F" w:rsidRPr="00184D5F">
        <w:rPr>
          <w:sz w:val="20"/>
          <w:szCs w:val="20"/>
          <w:vertAlign w:val="superscript"/>
        </w:rPr>
        <w:t>rd</w:t>
      </w:r>
    </w:p>
    <w:p w14:paraId="0B8619E6" w14:textId="77777777" w:rsidR="0049216A" w:rsidRPr="00381CCA" w:rsidRDefault="0049216A" w:rsidP="00B43BDE">
      <w:pPr>
        <w:pStyle w:val="PlainText"/>
        <w:rPr>
          <w:rFonts w:ascii="Times New Roman" w:hAnsi="Times New Roman" w:cs="Times New Roman"/>
          <w:b/>
        </w:rPr>
      </w:pPr>
    </w:p>
    <w:p w14:paraId="329C40EE" w14:textId="4F63A050" w:rsidR="00B43BDE" w:rsidRPr="00381CCA" w:rsidRDefault="00B43BDE" w:rsidP="00B43BDE">
      <w:pPr>
        <w:pStyle w:val="PlainText"/>
        <w:rPr>
          <w:rFonts w:ascii="Times New Roman" w:hAnsi="Times New Roman" w:cs="Times New Roman"/>
          <w:bCs/>
        </w:rPr>
      </w:pPr>
      <w:r w:rsidRPr="00381CCA">
        <w:rPr>
          <w:rFonts w:ascii="Times New Roman" w:hAnsi="Times New Roman" w:cs="Times New Roman"/>
          <w:b/>
        </w:rPr>
        <w:t>Type of outage required</w:t>
      </w:r>
      <w:r w:rsidR="00023A76" w:rsidRPr="00381CCA">
        <w:rPr>
          <w:rFonts w:ascii="Times New Roman" w:hAnsi="Times New Roman" w:cs="Times New Roman"/>
          <w:b/>
        </w:rPr>
        <w:t xml:space="preserve"> – </w:t>
      </w:r>
      <w:r w:rsidR="00023A76" w:rsidRPr="00381CCA">
        <w:rPr>
          <w:rFonts w:ascii="Times New Roman" w:hAnsi="Times New Roman" w:cs="Times New Roman"/>
          <w:bCs/>
        </w:rPr>
        <w:t>ITS OOS (Out of service)</w:t>
      </w:r>
    </w:p>
    <w:p w14:paraId="2F73C307" w14:textId="77777777" w:rsidR="009827E8" w:rsidRPr="00381CCA" w:rsidRDefault="009827E8" w:rsidP="00B43BDE">
      <w:pPr>
        <w:pStyle w:val="PlainText"/>
        <w:rPr>
          <w:rFonts w:ascii="Times New Roman" w:hAnsi="Times New Roman" w:cs="Times New Roman"/>
          <w:b/>
        </w:rPr>
      </w:pPr>
    </w:p>
    <w:p w14:paraId="070DB1D9" w14:textId="5420CCF1" w:rsidR="0099716B" w:rsidRPr="00381CCA" w:rsidRDefault="00B43BDE" w:rsidP="00B43BDE">
      <w:pPr>
        <w:pStyle w:val="PlainText"/>
        <w:rPr>
          <w:rFonts w:ascii="Times New Roman" w:hAnsi="Times New Roman" w:cs="Times New Roman"/>
          <w:bCs/>
        </w:rPr>
      </w:pPr>
      <w:r w:rsidRPr="00381CCA">
        <w:rPr>
          <w:rFonts w:ascii="Times New Roman" w:hAnsi="Times New Roman" w:cs="Times New Roman"/>
          <w:b/>
        </w:rPr>
        <w:t>Impact on facility operation</w:t>
      </w:r>
      <w:r w:rsidR="003E7488" w:rsidRPr="00381CCA">
        <w:rPr>
          <w:rFonts w:ascii="Times New Roman" w:hAnsi="Times New Roman" w:cs="Times New Roman"/>
          <w:b/>
        </w:rPr>
        <w:t xml:space="preserve"> </w:t>
      </w:r>
      <w:r w:rsidR="00023A76" w:rsidRPr="00381CCA">
        <w:rPr>
          <w:rFonts w:ascii="Times New Roman" w:hAnsi="Times New Roman" w:cs="Times New Roman"/>
          <w:b/>
        </w:rPr>
        <w:t xml:space="preserve">– </w:t>
      </w:r>
      <w:r w:rsidR="00023A76" w:rsidRPr="00381CCA">
        <w:rPr>
          <w:rFonts w:ascii="Times New Roman" w:hAnsi="Times New Roman" w:cs="Times New Roman"/>
          <w:bCs/>
        </w:rPr>
        <w:t xml:space="preserve">Outage </w:t>
      </w:r>
      <w:r w:rsidR="005C42FB">
        <w:rPr>
          <w:rFonts w:ascii="Times New Roman" w:hAnsi="Times New Roman" w:cs="Times New Roman"/>
          <w:bCs/>
        </w:rPr>
        <w:t>is not expected to hinder</w:t>
      </w:r>
      <w:r w:rsidR="00023A76" w:rsidRPr="00381CCA">
        <w:rPr>
          <w:rFonts w:ascii="Times New Roman" w:hAnsi="Times New Roman" w:cs="Times New Roman"/>
          <w:bCs/>
        </w:rPr>
        <w:t xml:space="preserve"> powerhouse or spillway operations </w:t>
      </w:r>
    </w:p>
    <w:p w14:paraId="7EC3D1FA" w14:textId="77777777" w:rsidR="00513FEE" w:rsidRPr="00381CCA" w:rsidRDefault="00513FEE" w:rsidP="00B43BDE">
      <w:pPr>
        <w:pStyle w:val="PlainText"/>
        <w:rPr>
          <w:rFonts w:ascii="Times New Roman" w:hAnsi="Times New Roman" w:cs="Times New Roman"/>
          <w:b/>
        </w:rPr>
      </w:pPr>
    </w:p>
    <w:p w14:paraId="336C7E31" w14:textId="332377EB" w:rsidR="00650AFF" w:rsidRPr="00381CCA" w:rsidRDefault="00650AFF" w:rsidP="00B43BDE">
      <w:pPr>
        <w:pStyle w:val="PlainText"/>
        <w:rPr>
          <w:rFonts w:ascii="Times New Roman" w:hAnsi="Times New Roman" w:cs="Times New Roman"/>
          <w:bCs/>
        </w:rPr>
      </w:pPr>
      <w:r w:rsidRPr="00381CCA">
        <w:rPr>
          <w:rFonts w:ascii="Times New Roman" w:hAnsi="Times New Roman" w:cs="Times New Roman"/>
          <w:b/>
        </w:rPr>
        <w:t>Dates of impacts/repairs</w:t>
      </w:r>
      <w:r w:rsidR="00023A76" w:rsidRPr="00381CCA">
        <w:rPr>
          <w:rFonts w:ascii="Times New Roman" w:hAnsi="Times New Roman" w:cs="Times New Roman"/>
          <w:b/>
        </w:rPr>
        <w:t xml:space="preserve"> </w:t>
      </w:r>
      <w:r w:rsidR="00184D5F">
        <w:rPr>
          <w:rFonts w:ascii="Times New Roman" w:hAnsi="Times New Roman" w:cs="Times New Roman"/>
          <w:bCs/>
        </w:rPr>
        <w:t>October 2</w:t>
      </w:r>
      <w:r w:rsidR="00184D5F" w:rsidRPr="00184D5F">
        <w:rPr>
          <w:rFonts w:ascii="Times New Roman" w:hAnsi="Times New Roman" w:cs="Times New Roman"/>
          <w:bCs/>
          <w:vertAlign w:val="superscript"/>
        </w:rPr>
        <w:t>nd</w:t>
      </w:r>
      <w:r w:rsidR="00023A76" w:rsidRPr="00381CCA">
        <w:rPr>
          <w:rFonts w:ascii="Times New Roman" w:hAnsi="Times New Roman" w:cs="Times New Roman"/>
          <w:bCs/>
        </w:rPr>
        <w:t xml:space="preserve"> start dewatering process – work through </w:t>
      </w:r>
      <w:r w:rsidR="00184D5F">
        <w:rPr>
          <w:rFonts w:ascii="Times New Roman" w:hAnsi="Times New Roman" w:cs="Times New Roman"/>
          <w:bCs/>
        </w:rPr>
        <w:t>October 23</w:t>
      </w:r>
      <w:r w:rsidR="00184D5F" w:rsidRPr="00184D5F">
        <w:rPr>
          <w:rFonts w:ascii="Times New Roman" w:hAnsi="Times New Roman" w:cs="Times New Roman"/>
          <w:bCs/>
          <w:vertAlign w:val="superscript"/>
        </w:rPr>
        <w:t>rd</w:t>
      </w:r>
    </w:p>
    <w:p w14:paraId="6431E5A8" w14:textId="77777777" w:rsidR="00650AFF" w:rsidRPr="00381CCA" w:rsidRDefault="00650AFF" w:rsidP="00B43BDE">
      <w:pPr>
        <w:pStyle w:val="PlainText"/>
        <w:rPr>
          <w:rFonts w:ascii="Times New Roman" w:hAnsi="Times New Roman" w:cs="Times New Roman"/>
          <w:b/>
        </w:rPr>
      </w:pPr>
    </w:p>
    <w:p w14:paraId="69443F49" w14:textId="06FB55C8" w:rsidR="00B43BDE" w:rsidRPr="00381CCA" w:rsidRDefault="00B43BDE" w:rsidP="00B43BDE">
      <w:pPr>
        <w:pStyle w:val="PlainText"/>
        <w:rPr>
          <w:rFonts w:ascii="Times New Roman" w:hAnsi="Times New Roman" w:cs="Times New Roman"/>
          <w:b/>
        </w:rPr>
      </w:pPr>
      <w:r w:rsidRPr="00381CCA">
        <w:rPr>
          <w:rFonts w:ascii="Times New Roman" w:hAnsi="Times New Roman" w:cs="Times New Roman"/>
          <w:b/>
        </w:rPr>
        <w:t>Length of time for repairs</w:t>
      </w:r>
      <w:r w:rsidR="005C42FB">
        <w:rPr>
          <w:rFonts w:ascii="Times New Roman" w:hAnsi="Times New Roman" w:cs="Times New Roman"/>
          <w:b/>
        </w:rPr>
        <w:t xml:space="preserve"> </w:t>
      </w:r>
      <w:r w:rsidR="005C42FB" w:rsidRPr="005C42FB">
        <w:rPr>
          <w:rFonts w:ascii="Times New Roman" w:hAnsi="Times New Roman" w:cs="Times New Roman"/>
          <w:bCs/>
        </w:rPr>
        <w:t>~ 1 month</w:t>
      </w:r>
    </w:p>
    <w:p w14:paraId="7A3CCAE1" w14:textId="77777777" w:rsidR="00650248" w:rsidRPr="00381CCA" w:rsidRDefault="00650248" w:rsidP="00B43BDE">
      <w:pPr>
        <w:pStyle w:val="PlainText"/>
        <w:rPr>
          <w:rFonts w:ascii="Times New Roman" w:hAnsi="Times New Roman" w:cs="Times New Roman"/>
          <w:b/>
        </w:rPr>
      </w:pPr>
    </w:p>
    <w:p w14:paraId="09400125" w14:textId="751D9BDB" w:rsidR="00F842FF" w:rsidRPr="00381CCA" w:rsidRDefault="00F842FF" w:rsidP="00B43BDE">
      <w:pPr>
        <w:pStyle w:val="PlainText"/>
        <w:rPr>
          <w:rFonts w:ascii="Times New Roman" w:hAnsi="Times New Roman" w:cs="Times New Roman"/>
          <w:b/>
        </w:rPr>
      </w:pPr>
      <w:r w:rsidRPr="00381CCA">
        <w:rPr>
          <w:rFonts w:ascii="Times New Roman" w:hAnsi="Times New Roman" w:cs="Times New Roman"/>
          <w:b/>
        </w:rPr>
        <w:t>Analysis of potential impacts to fish</w:t>
      </w:r>
    </w:p>
    <w:p w14:paraId="0BF11932" w14:textId="3B6057B9" w:rsidR="00176B9B" w:rsidRPr="00381CCA" w:rsidRDefault="00176B9B" w:rsidP="00B43BDE">
      <w:pPr>
        <w:pStyle w:val="PlainText"/>
        <w:rPr>
          <w:rFonts w:ascii="Times New Roman" w:hAnsi="Times New Roman" w:cs="Times New Roman"/>
          <w:b/>
        </w:rPr>
      </w:pPr>
    </w:p>
    <w:p w14:paraId="27A566B6" w14:textId="71E10112" w:rsidR="00176B9B" w:rsidRPr="00381CCA" w:rsidRDefault="00176B9B" w:rsidP="00176B9B">
      <w:pPr>
        <w:pStyle w:val="PlainText"/>
        <w:rPr>
          <w:rFonts w:ascii="Times New Roman" w:hAnsi="Times New Roman" w:cs="Times New Roman"/>
        </w:rPr>
      </w:pPr>
      <w:r w:rsidRPr="00381CCA">
        <w:rPr>
          <w:rFonts w:ascii="Times New Roman" w:hAnsi="Times New Roman" w:cs="Times New Roman"/>
          <w:b/>
          <w:bCs/>
        </w:rPr>
        <w:t>Expected impacts on fish passage –</w:t>
      </w:r>
      <w:bookmarkStart w:id="0" w:name="_Hlk116550351"/>
      <w:r w:rsidRPr="00381CCA">
        <w:rPr>
          <w:rFonts w:ascii="Times New Roman" w:hAnsi="Times New Roman" w:cs="Times New Roman"/>
        </w:rPr>
        <w:t>There would be no downstream surface passage route at PH1 for the duration of the work and reduced attraction flow in the tailrace.  Without pull from the ITS, fewer juveniles than normal are expected to make their way into the PH1 forebay.  Juvenile fish that do make their way into the PH1 forebay could be delayed in passage and thus exposed to higher predation levels.</w:t>
      </w:r>
      <w:r w:rsidR="00666352">
        <w:rPr>
          <w:rFonts w:ascii="Times New Roman" w:hAnsi="Times New Roman" w:cs="Times New Roman"/>
        </w:rPr>
        <w:t xml:space="preserve"> All fishway entrances will remain open and continue to be provided attraction flow except for PH1 South entrance. This may cause adult fish that travel the south entrance of PH1 to be exposed to higher level of sea lion predation. </w:t>
      </w:r>
      <w:r w:rsidRPr="00381CCA">
        <w:rPr>
          <w:rFonts w:ascii="Times New Roman" w:hAnsi="Times New Roman" w:cs="Times New Roman"/>
        </w:rPr>
        <w:t>Adult fish that use routes other than PH1 fishway entrances (PH2) are not expected to experience higher levels of sea lion predation</w:t>
      </w:r>
    </w:p>
    <w:bookmarkEnd w:id="0"/>
    <w:p w14:paraId="61A67994" w14:textId="4A931362" w:rsidR="004D06CB" w:rsidRPr="00381CCA" w:rsidRDefault="004D06CB" w:rsidP="00176B9B">
      <w:pPr>
        <w:pStyle w:val="PlainText"/>
        <w:rPr>
          <w:rFonts w:ascii="Times New Roman" w:hAnsi="Times New Roman" w:cs="Times New Roman"/>
        </w:rPr>
      </w:pPr>
    </w:p>
    <w:p w14:paraId="075B70AB" w14:textId="5A3A2AB0" w:rsidR="004D06CB" w:rsidRPr="00381CCA" w:rsidRDefault="004D06CB" w:rsidP="00176B9B">
      <w:pPr>
        <w:pStyle w:val="PlainText"/>
        <w:rPr>
          <w:rFonts w:ascii="Times New Roman" w:hAnsi="Times New Roman" w:cs="Times New Roman"/>
        </w:rPr>
      </w:pPr>
      <w:r w:rsidRPr="00381CCA">
        <w:rPr>
          <w:rFonts w:ascii="Times New Roman" w:hAnsi="Times New Roman" w:cs="Times New Roman"/>
        </w:rPr>
        <w:t xml:space="preserve">Bon will communicate with Reservoir Control Center (RCC) about fluctuating forebay levels during the work period. A teletype </w:t>
      </w:r>
      <w:r w:rsidR="005C42FB">
        <w:rPr>
          <w:rFonts w:ascii="Times New Roman" w:hAnsi="Times New Roman" w:cs="Times New Roman"/>
        </w:rPr>
        <w:t>will</w:t>
      </w:r>
      <w:r w:rsidRPr="00381CCA">
        <w:rPr>
          <w:rFonts w:ascii="Times New Roman" w:hAnsi="Times New Roman" w:cs="Times New Roman"/>
        </w:rPr>
        <w:t xml:space="preserve"> be required to control the forebay levels during the work window.</w:t>
      </w:r>
    </w:p>
    <w:p w14:paraId="7A1235C3" w14:textId="77777777" w:rsidR="00176B9B" w:rsidRPr="00381CCA" w:rsidRDefault="00176B9B" w:rsidP="00B43BDE">
      <w:pPr>
        <w:pStyle w:val="PlainText"/>
        <w:rPr>
          <w:rFonts w:ascii="Times New Roman" w:hAnsi="Times New Roman" w:cs="Times New Roman"/>
          <w:b/>
        </w:rPr>
      </w:pPr>
    </w:p>
    <w:p w14:paraId="594F436F" w14:textId="3B03D4E1" w:rsidR="004274DB" w:rsidRDefault="00F842FF" w:rsidP="00D36001">
      <w:pPr>
        <w:pStyle w:val="FPP4"/>
        <w:numPr>
          <w:ilvl w:val="0"/>
          <w:numId w:val="3"/>
        </w:numPr>
        <w:spacing w:after="120"/>
        <w:rPr>
          <w:sz w:val="20"/>
          <w:szCs w:val="20"/>
        </w:rPr>
      </w:pPr>
      <w:r w:rsidRPr="00381CCA">
        <w:rPr>
          <w:sz w:val="20"/>
          <w:szCs w:val="20"/>
        </w:rPr>
        <w:t>10-year average passage by run during the period of impact for adults and juvenile listed species, as appropriate for the proposed action and time of year;</w:t>
      </w:r>
      <w:r w:rsidR="004274DB">
        <w:rPr>
          <w:sz w:val="20"/>
          <w:szCs w:val="20"/>
        </w:rPr>
        <w:br/>
      </w:r>
      <w:r w:rsidR="004274DB">
        <w:rPr>
          <w:sz w:val="20"/>
          <w:szCs w:val="20"/>
        </w:rPr>
        <w:br/>
        <w:t>The 10-year average for all adult and juvenile species shows an expected 0% to near 0% impact during the work period projected.</w:t>
      </w:r>
      <w:r w:rsidR="004274DB">
        <w:rPr>
          <w:sz w:val="20"/>
          <w:szCs w:val="20"/>
        </w:rPr>
        <w:br/>
      </w:r>
    </w:p>
    <w:p w14:paraId="1D0A9D5F" w14:textId="3B4412FD" w:rsidR="005C42FB" w:rsidRDefault="005C42FB" w:rsidP="005C42FB">
      <w:pPr>
        <w:pStyle w:val="FPP4"/>
        <w:spacing w:after="120"/>
        <w:rPr>
          <w:sz w:val="20"/>
          <w:szCs w:val="20"/>
        </w:rPr>
      </w:pPr>
    </w:p>
    <w:p w14:paraId="3D9946B5" w14:textId="3C3A5C94" w:rsidR="005C42FB" w:rsidRDefault="005C42FB" w:rsidP="005C42FB">
      <w:pPr>
        <w:pStyle w:val="FPP4"/>
        <w:spacing w:after="120"/>
        <w:rPr>
          <w:sz w:val="20"/>
          <w:szCs w:val="20"/>
        </w:rPr>
      </w:pPr>
    </w:p>
    <w:p w14:paraId="25FE76E7" w14:textId="2E244D4B" w:rsidR="005C42FB" w:rsidRDefault="005C42FB" w:rsidP="005C42FB">
      <w:pPr>
        <w:pStyle w:val="FPP4"/>
        <w:spacing w:after="120"/>
        <w:rPr>
          <w:sz w:val="20"/>
          <w:szCs w:val="20"/>
        </w:rPr>
      </w:pPr>
    </w:p>
    <w:p w14:paraId="41B5F3C3" w14:textId="77777777" w:rsidR="005C42FB" w:rsidRDefault="005C42FB" w:rsidP="005C42FB">
      <w:pPr>
        <w:pStyle w:val="FPP4"/>
        <w:spacing w:after="120"/>
        <w:rPr>
          <w:sz w:val="20"/>
          <w:szCs w:val="20"/>
        </w:rPr>
      </w:pPr>
    </w:p>
    <w:p w14:paraId="73579E86" w14:textId="1E2B62C5" w:rsidR="004274DB" w:rsidRPr="004274DB" w:rsidRDefault="004274DB" w:rsidP="004274DB">
      <w:pPr>
        <w:pStyle w:val="PlainText"/>
        <w:rPr>
          <w:rFonts w:ascii="Times New Roman" w:hAnsi="Times New Roman" w:cs="Times New Roman"/>
          <w:b/>
          <w:i/>
          <w:iCs/>
        </w:rPr>
      </w:pPr>
      <w:r w:rsidRPr="004274DB">
        <w:rPr>
          <w:rFonts w:ascii="Times New Roman" w:hAnsi="Times New Roman" w:cs="Times New Roman"/>
          <w:b/>
          <w:i/>
          <w:iCs/>
        </w:rPr>
        <w:lastRenderedPageBreak/>
        <w:t xml:space="preserve">Table 1: </w:t>
      </w:r>
      <w:r w:rsidRPr="004274DB">
        <w:rPr>
          <w:rFonts w:ascii="Times New Roman" w:hAnsi="Times New Roman" w:cs="Times New Roman"/>
          <w:bCs/>
          <w:i/>
          <w:iCs/>
        </w:rPr>
        <w:t xml:space="preserve">10-Year average for work period </w:t>
      </w:r>
      <w:r w:rsidR="00184D5F">
        <w:rPr>
          <w:rFonts w:ascii="Times New Roman" w:hAnsi="Times New Roman" w:cs="Times New Roman"/>
          <w:bCs/>
          <w:i/>
          <w:iCs/>
        </w:rPr>
        <w:t>10</w:t>
      </w:r>
      <w:r w:rsidR="0097000B">
        <w:rPr>
          <w:rFonts w:ascii="Times New Roman" w:hAnsi="Times New Roman" w:cs="Times New Roman"/>
          <w:bCs/>
          <w:i/>
          <w:iCs/>
        </w:rPr>
        <w:t>/</w:t>
      </w:r>
      <w:r w:rsidR="00184D5F">
        <w:rPr>
          <w:rFonts w:ascii="Times New Roman" w:hAnsi="Times New Roman" w:cs="Times New Roman"/>
          <w:bCs/>
          <w:i/>
          <w:iCs/>
        </w:rPr>
        <w:t>2</w:t>
      </w:r>
      <w:r w:rsidRPr="004274DB">
        <w:rPr>
          <w:rFonts w:ascii="Times New Roman" w:hAnsi="Times New Roman" w:cs="Times New Roman"/>
          <w:bCs/>
          <w:i/>
          <w:iCs/>
        </w:rPr>
        <w:t xml:space="preserve"> – </w:t>
      </w:r>
      <w:r w:rsidR="00184D5F">
        <w:rPr>
          <w:rFonts w:ascii="Times New Roman" w:hAnsi="Times New Roman" w:cs="Times New Roman"/>
          <w:bCs/>
          <w:i/>
          <w:iCs/>
        </w:rPr>
        <w:t>10</w:t>
      </w:r>
      <w:r w:rsidR="0097000B">
        <w:rPr>
          <w:rFonts w:ascii="Times New Roman" w:hAnsi="Times New Roman" w:cs="Times New Roman"/>
          <w:bCs/>
          <w:i/>
          <w:iCs/>
        </w:rPr>
        <w:t>/2</w:t>
      </w:r>
      <w:r w:rsidR="00184D5F">
        <w:rPr>
          <w:rFonts w:ascii="Times New Roman" w:hAnsi="Times New Roman" w:cs="Times New Roman"/>
          <w:bCs/>
          <w:i/>
          <w:iCs/>
        </w:rPr>
        <w:t>3</w:t>
      </w:r>
    </w:p>
    <w:tbl>
      <w:tblPr>
        <w:tblStyle w:val="TableGrid"/>
        <w:tblpPr w:leftFromText="180" w:rightFromText="180" w:vertAnchor="text" w:horzAnchor="margin" w:tblpXSpec="center" w:tblpY="37"/>
        <w:tblW w:w="7880" w:type="dxa"/>
        <w:tblLook w:val="04A0" w:firstRow="1" w:lastRow="0" w:firstColumn="1" w:lastColumn="0" w:noHBand="0" w:noVBand="1"/>
      </w:tblPr>
      <w:tblGrid>
        <w:gridCol w:w="1355"/>
        <w:gridCol w:w="2275"/>
        <w:gridCol w:w="2075"/>
        <w:gridCol w:w="2175"/>
      </w:tblGrid>
      <w:tr w:rsidR="004274DB" w:rsidRPr="00381CCA" w14:paraId="188BD20E" w14:textId="77777777" w:rsidTr="004274DB">
        <w:trPr>
          <w:trHeight w:val="228"/>
        </w:trPr>
        <w:tc>
          <w:tcPr>
            <w:tcW w:w="1355" w:type="dxa"/>
          </w:tcPr>
          <w:p w14:paraId="13060B68" w14:textId="77777777" w:rsidR="004274DB" w:rsidRPr="004274DB" w:rsidRDefault="004274DB" w:rsidP="004274DB">
            <w:pPr>
              <w:pStyle w:val="PlainText"/>
              <w:rPr>
                <w:rFonts w:ascii="Times New Roman" w:hAnsi="Times New Roman" w:cs="Times New Roman"/>
                <w:b/>
              </w:rPr>
            </w:pPr>
            <w:r w:rsidRPr="004274DB">
              <w:rPr>
                <w:rFonts w:ascii="Times New Roman" w:hAnsi="Times New Roman" w:cs="Times New Roman"/>
                <w:b/>
              </w:rPr>
              <w:t>Date</w:t>
            </w:r>
          </w:p>
        </w:tc>
        <w:tc>
          <w:tcPr>
            <w:tcW w:w="2275" w:type="dxa"/>
          </w:tcPr>
          <w:p w14:paraId="69F04735" w14:textId="367028A8" w:rsidR="004274DB" w:rsidRPr="004274DB" w:rsidRDefault="00184D5F" w:rsidP="004274DB">
            <w:pPr>
              <w:pStyle w:val="PlainText"/>
              <w:rPr>
                <w:rFonts w:ascii="Times New Roman" w:hAnsi="Times New Roman" w:cs="Times New Roman"/>
                <w:b/>
              </w:rPr>
            </w:pPr>
            <w:r>
              <w:rPr>
                <w:rFonts w:ascii="Times New Roman" w:hAnsi="Times New Roman" w:cs="Times New Roman"/>
                <w:b/>
              </w:rPr>
              <w:t>10</w:t>
            </w:r>
            <w:r w:rsidR="00387212">
              <w:rPr>
                <w:rFonts w:ascii="Times New Roman" w:hAnsi="Times New Roman" w:cs="Times New Roman"/>
                <w:b/>
              </w:rPr>
              <w:t>/2</w:t>
            </w:r>
            <w:r w:rsidR="004274DB" w:rsidRPr="004274DB">
              <w:rPr>
                <w:rFonts w:ascii="Times New Roman" w:hAnsi="Times New Roman" w:cs="Times New Roman"/>
                <w:b/>
              </w:rPr>
              <w:t xml:space="preserve"> – </w:t>
            </w:r>
            <w:r>
              <w:rPr>
                <w:rFonts w:ascii="Times New Roman" w:hAnsi="Times New Roman" w:cs="Times New Roman"/>
                <w:b/>
              </w:rPr>
              <w:t>10</w:t>
            </w:r>
            <w:r w:rsidR="004274DB" w:rsidRPr="004274DB">
              <w:rPr>
                <w:rFonts w:ascii="Times New Roman" w:hAnsi="Times New Roman" w:cs="Times New Roman"/>
                <w:b/>
              </w:rPr>
              <w:t>/</w:t>
            </w:r>
            <w:r w:rsidR="00387212">
              <w:rPr>
                <w:rFonts w:ascii="Times New Roman" w:hAnsi="Times New Roman" w:cs="Times New Roman"/>
                <w:b/>
              </w:rPr>
              <w:t>2</w:t>
            </w:r>
            <w:r>
              <w:rPr>
                <w:rFonts w:ascii="Times New Roman" w:hAnsi="Times New Roman" w:cs="Times New Roman"/>
                <w:b/>
              </w:rPr>
              <w:t>3</w:t>
            </w:r>
            <w:r w:rsidR="004274DB" w:rsidRPr="004274DB">
              <w:rPr>
                <w:rFonts w:ascii="Times New Roman" w:hAnsi="Times New Roman" w:cs="Times New Roman"/>
                <w:b/>
              </w:rPr>
              <w:t xml:space="preserve"> 10-year avg</w:t>
            </w:r>
          </w:p>
        </w:tc>
        <w:tc>
          <w:tcPr>
            <w:tcW w:w="2075" w:type="dxa"/>
          </w:tcPr>
          <w:p w14:paraId="41E89F76" w14:textId="77777777" w:rsidR="004274DB" w:rsidRPr="004274DB" w:rsidRDefault="004274DB" w:rsidP="004274DB">
            <w:pPr>
              <w:pStyle w:val="PlainText"/>
              <w:rPr>
                <w:rFonts w:ascii="Times New Roman" w:hAnsi="Times New Roman" w:cs="Times New Roman"/>
                <w:b/>
              </w:rPr>
            </w:pPr>
            <w:r w:rsidRPr="004274DB">
              <w:rPr>
                <w:rFonts w:ascii="Times New Roman" w:hAnsi="Times New Roman" w:cs="Times New Roman"/>
                <w:b/>
              </w:rPr>
              <w:t>10 Year avg total run</w:t>
            </w:r>
          </w:p>
        </w:tc>
        <w:tc>
          <w:tcPr>
            <w:tcW w:w="2175" w:type="dxa"/>
          </w:tcPr>
          <w:p w14:paraId="143A383A" w14:textId="77777777" w:rsidR="004274DB" w:rsidRPr="004274DB" w:rsidRDefault="004274DB" w:rsidP="004274DB">
            <w:pPr>
              <w:pStyle w:val="PlainText"/>
              <w:rPr>
                <w:rFonts w:ascii="Times New Roman" w:hAnsi="Times New Roman" w:cs="Times New Roman"/>
                <w:b/>
              </w:rPr>
            </w:pPr>
            <w:r w:rsidRPr="004274DB">
              <w:rPr>
                <w:rFonts w:ascii="Times New Roman" w:hAnsi="Times New Roman" w:cs="Times New Roman"/>
                <w:b/>
              </w:rPr>
              <w:t>Percent Run Affected</w:t>
            </w:r>
          </w:p>
        </w:tc>
      </w:tr>
      <w:tr w:rsidR="004274DB" w:rsidRPr="00381CCA" w14:paraId="12FD54C4" w14:textId="77777777" w:rsidTr="004274DB">
        <w:trPr>
          <w:trHeight w:val="334"/>
        </w:trPr>
        <w:tc>
          <w:tcPr>
            <w:tcW w:w="1355" w:type="dxa"/>
          </w:tcPr>
          <w:p w14:paraId="4706136A" w14:textId="77777777" w:rsidR="004274DB" w:rsidRPr="00381CCA" w:rsidRDefault="004274DB" w:rsidP="004274DB">
            <w:pPr>
              <w:pStyle w:val="PlainText"/>
              <w:rPr>
                <w:rFonts w:ascii="Times New Roman" w:hAnsi="Times New Roman" w:cs="Times New Roman"/>
                <w:bCs/>
              </w:rPr>
            </w:pPr>
            <w:r w:rsidRPr="00381CCA">
              <w:rPr>
                <w:rFonts w:ascii="Times New Roman" w:hAnsi="Times New Roman" w:cs="Times New Roman"/>
                <w:bCs/>
              </w:rPr>
              <w:t>Chinook</w:t>
            </w:r>
          </w:p>
        </w:tc>
        <w:tc>
          <w:tcPr>
            <w:tcW w:w="2275" w:type="dxa"/>
          </w:tcPr>
          <w:p w14:paraId="4F23A96A" w14:textId="3E474043" w:rsidR="004274DB" w:rsidRPr="00381CCA" w:rsidRDefault="00184D5F" w:rsidP="004274DB">
            <w:pPr>
              <w:pStyle w:val="PlainText"/>
              <w:rPr>
                <w:rFonts w:ascii="Times New Roman" w:hAnsi="Times New Roman" w:cs="Times New Roman"/>
                <w:bCs/>
              </w:rPr>
            </w:pPr>
            <w:r>
              <w:rPr>
                <w:rFonts w:ascii="Times New Roman" w:hAnsi="Times New Roman" w:cs="Times New Roman"/>
                <w:bCs/>
              </w:rPr>
              <w:t>37,802</w:t>
            </w:r>
          </w:p>
        </w:tc>
        <w:tc>
          <w:tcPr>
            <w:tcW w:w="2075" w:type="dxa"/>
          </w:tcPr>
          <w:p w14:paraId="26273488" w14:textId="602B305F" w:rsidR="004274DB" w:rsidRPr="00381CCA" w:rsidRDefault="004274DB" w:rsidP="004274DB">
            <w:pPr>
              <w:pStyle w:val="PlainText"/>
              <w:rPr>
                <w:rFonts w:ascii="Times New Roman" w:hAnsi="Times New Roman" w:cs="Times New Roman"/>
                <w:bCs/>
              </w:rPr>
            </w:pPr>
            <w:r w:rsidRPr="00381CCA">
              <w:rPr>
                <w:rFonts w:ascii="Times New Roman" w:hAnsi="Times New Roman" w:cs="Times New Roman"/>
                <w:bCs/>
              </w:rPr>
              <w:t>8</w:t>
            </w:r>
            <w:r w:rsidR="00CA1E37">
              <w:rPr>
                <w:rFonts w:ascii="Times New Roman" w:hAnsi="Times New Roman" w:cs="Times New Roman"/>
                <w:bCs/>
              </w:rPr>
              <w:t>17,285</w:t>
            </w:r>
          </w:p>
        </w:tc>
        <w:tc>
          <w:tcPr>
            <w:tcW w:w="2175" w:type="dxa"/>
          </w:tcPr>
          <w:p w14:paraId="491703E5" w14:textId="19B1BBF8" w:rsidR="004274DB" w:rsidRPr="004E4556" w:rsidRDefault="00C30335" w:rsidP="004274DB">
            <w:pPr>
              <w:pStyle w:val="PlainText"/>
              <w:rPr>
                <w:rFonts w:ascii="Times New Roman" w:hAnsi="Times New Roman" w:cs="Times New Roman"/>
                <w:bCs/>
              </w:rPr>
            </w:pPr>
            <w:bdo w:val="ltr">
              <w:r w:rsidR="00184D5F" w:rsidRPr="00184D5F">
                <w:rPr>
                  <w:rFonts w:ascii="Times New Roman" w:hAnsi="Times New Roman" w:cs="Times New Roman"/>
                </w:rPr>
                <w:t>4.6</w:t>
              </w:r>
              <w:r w:rsidR="00666352" w:rsidRPr="00184D5F">
                <w:rPr>
                  <w:rFonts w:ascii="Times New Roman" w:hAnsi="Times New Roman" w:cs="Times New Roman"/>
                </w:rPr>
                <w:t>%</w:t>
              </w:r>
              <w:r w:rsidR="005C3A09" w:rsidRPr="00184D5F">
                <w:rPr>
                  <w:rFonts w:ascii="Times New Roman" w:hAnsi="Times New Roman" w:cs="Times New Roman"/>
                </w:rPr>
                <w:t>‬</w:t>
              </w:r>
              <w:r>
                <w:t>‬</w:t>
              </w:r>
            </w:bdo>
          </w:p>
        </w:tc>
      </w:tr>
      <w:tr w:rsidR="004274DB" w:rsidRPr="00381CCA" w14:paraId="0B9D4D06" w14:textId="77777777" w:rsidTr="004274DB">
        <w:trPr>
          <w:trHeight w:val="334"/>
        </w:trPr>
        <w:tc>
          <w:tcPr>
            <w:tcW w:w="1355" w:type="dxa"/>
          </w:tcPr>
          <w:p w14:paraId="1BA99E40" w14:textId="77777777" w:rsidR="004274DB" w:rsidRPr="00381CCA" w:rsidRDefault="004274DB" w:rsidP="004274DB">
            <w:pPr>
              <w:pStyle w:val="PlainText"/>
              <w:rPr>
                <w:rFonts w:ascii="Times New Roman" w:hAnsi="Times New Roman" w:cs="Times New Roman"/>
                <w:bCs/>
              </w:rPr>
            </w:pPr>
            <w:r w:rsidRPr="00381CCA">
              <w:rPr>
                <w:rFonts w:ascii="Times New Roman" w:hAnsi="Times New Roman" w:cs="Times New Roman"/>
                <w:bCs/>
              </w:rPr>
              <w:t>Steelhead</w:t>
            </w:r>
          </w:p>
        </w:tc>
        <w:tc>
          <w:tcPr>
            <w:tcW w:w="2275" w:type="dxa"/>
          </w:tcPr>
          <w:p w14:paraId="5528B5D2" w14:textId="6A556745" w:rsidR="004274DB" w:rsidRPr="00381CCA" w:rsidRDefault="00184D5F" w:rsidP="004274DB">
            <w:pPr>
              <w:pStyle w:val="PlainText"/>
              <w:rPr>
                <w:rFonts w:ascii="Times New Roman" w:hAnsi="Times New Roman" w:cs="Times New Roman"/>
                <w:bCs/>
              </w:rPr>
            </w:pPr>
            <w:r>
              <w:rPr>
                <w:rFonts w:ascii="Times New Roman" w:hAnsi="Times New Roman" w:cs="Times New Roman"/>
                <w:bCs/>
              </w:rPr>
              <w:t>6,864</w:t>
            </w:r>
          </w:p>
        </w:tc>
        <w:tc>
          <w:tcPr>
            <w:tcW w:w="2075" w:type="dxa"/>
          </w:tcPr>
          <w:p w14:paraId="15D41873" w14:textId="1B3D2133" w:rsidR="004274DB" w:rsidRPr="00381CCA" w:rsidRDefault="00184D5F" w:rsidP="004274DB">
            <w:pPr>
              <w:pStyle w:val="PlainText"/>
              <w:rPr>
                <w:rFonts w:ascii="Times New Roman" w:hAnsi="Times New Roman" w:cs="Times New Roman"/>
                <w:bCs/>
              </w:rPr>
            </w:pPr>
            <w:r>
              <w:rPr>
                <w:rFonts w:ascii="Times New Roman" w:hAnsi="Times New Roman" w:cs="Times New Roman"/>
                <w:bCs/>
              </w:rPr>
              <w:t>173,873</w:t>
            </w:r>
          </w:p>
        </w:tc>
        <w:tc>
          <w:tcPr>
            <w:tcW w:w="2175" w:type="dxa"/>
          </w:tcPr>
          <w:p w14:paraId="04BAC17B" w14:textId="284F78FE" w:rsidR="004274DB" w:rsidRPr="004E4556" w:rsidRDefault="00184D5F" w:rsidP="004274DB">
            <w:pPr>
              <w:pStyle w:val="PlainText"/>
              <w:rPr>
                <w:rFonts w:ascii="Times New Roman" w:hAnsi="Times New Roman" w:cs="Times New Roman"/>
                <w:bCs/>
              </w:rPr>
            </w:pPr>
            <w:r>
              <w:rPr>
                <w:rFonts w:ascii="Times New Roman" w:hAnsi="Times New Roman" w:cs="Times New Roman"/>
                <w:bCs/>
              </w:rPr>
              <w:t>3.9</w:t>
            </w:r>
            <w:r w:rsidR="00666352">
              <w:rPr>
                <w:rFonts w:ascii="Times New Roman" w:hAnsi="Times New Roman" w:cs="Times New Roman"/>
                <w:bCs/>
              </w:rPr>
              <w:t>%</w:t>
            </w:r>
          </w:p>
        </w:tc>
      </w:tr>
      <w:tr w:rsidR="004274DB" w:rsidRPr="00381CCA" w14:paraId="4115E3A7" w14:textId="77777777" w:rsidTr="004274DB">
        <w:trPr>
          <w:trHeight w:val="334"/>
        </w:trPr>
        <w:tc>
          <w:tcPr>
            <w:tcW w:w="1355" w:type="dxa"/>
          </w:tcPr>
          <w:p w14:paraId="2CA0A1A5" w14:textId="77777777" w:rsidR="004274DB" w:rsidRPr="00381CCA" w:rsidRDefault="004274DB" w:rsidP="004274DB">
            <w:pPr>
              <w:pStyle w:val="PlainText"/>
              <w:rPr>
                <w:rFonts w:ascii="Times New Roman" w:hAnsi="Times New Roman" w:cs="Times New Roman"/>
                <w:bCs/>
              </w:rPr>
            </w:pPr>
            <w:r w:rsidRPr="00381CCA">
              <w:rPr>
                <w:rFonts w:ascii="Times New Roman" w:hAnsi="Times New Roman" w:cs="Times New Roman"/>
                <w:bCs/>
              </w:rPr>
              <w:t>Coho</w:t>
            </w:r>
          </w:p>
        </w:tc>
        <w:tc>
          <w:tcPr>
            <w:tcW w:w="2275" w:type="dxa"/>
          </w:tcPr>
          <w:p w14:paraId="2965EED7" w14:textId="2F5E6A6F" w:rsidR="004274DB" w:rsidRPr="00381CCA" w:rsidRDefault="00184D5F" w:rsidP="004274DB">
            <w:pPr>
              <w:pStyle w:val="PlainText"/>
              <w:rPr>
                <w:rFonts w:ascii="Times New Roman" w:hAnsi="Times New Roman" w:cs="Times New Roman"/>
                <w:bCs/>
              </w:rPr>
            </w:pPr>
            <w:r>
              <w:rPr>
                <w:rFonts w:ascii="Times New Roman" w:hAnsi="Times New Roman" w:cs="Times New Roman"/>
                <w:bCs/>
              </w:rPr>
              <w:t>23,067</w:t>
            </w:r>
          </w:p>
        </w:tc>
        <w:tc>
          <w:tcPr>
            <w:tcW w:w="2075" w:type="dxa"/>
          </w:tcPr>
          <w:p w14:paraId="468874EA" w14:textId="77777777" w:rsidR="004274DB" w:rsidRPr="00381CCA" w:rsidRDefault="004274DB" w:rsidP="004274DB">
            <w:pPr>
              <w:pStyle w:val="PlainText"/>
              <w:rPr>
                <w:rFonts w:ascii="Times New Roman" w:hAnsi="Times New Roman" w:cs="Times New Roman"/>
                <w:bCs/>
              </w:rPr>
            </w:pPr>
            <w:r w:rsidRPr="00381CCA">
              <w:rPr>
                <w:rFonts w:ascii="Times New Roman" w:hAnsi="Times New Roman" w:cs="Times New Roman"/>
                <w:bCs/>
              </w:rPr>
              <w:t>113,422</w:t>
            </w:r>
          </w:p>
        </w:tc>
        <w:tc>
          <w:tcPr>
            <w:tcW w:w="2175" w:type="dxa"/>
          </w:tcPr>
          <w:p w14:paraId="7BFA016E" w14:textId="2D825C49" w:rsidR="004274DB" w:rsidRPr="00381CCA" w:rsidRDefault="00184D5F" w:rsidP="004274DB">
            <w:pPr>
              <w:pStyle w:val="PlainText"/>
              <w:rPr>
                <w:rFonts w:ascii="Times New Roman" w:hAnsi="Times New Roman" w:cs="Times New Roman"/>
                <w:bCs/>
              </w:rPr>
            </w:pPr>
            <w:r>
              <w:rPr>
                <w:rFonts w:ascii="Times New Roman" w:hAnsi="Times New Roman" w:cs="Times New Roman"/>
                <w:bCs/>
              </w:rPr>
              <w:t>20</w:t>
            </w:r>
            <w:r w:rsidR="00666352">
              <w:rPr>
                <w:rFonts w:ascii="Times New Roman" w:hAnsi="Times New Roman" w:cs="Times New Roman"/>
                <w:bCs/>
              </w:rPr>
              <w:t>%</w:t>
            </w:r>
          </w:p>
        </w:tc>
      </w:tr>
      <w:tr w:rsidR="004274DB" w:rsidRPr="00381CCA" w14:paraId="69B71AF0" w14:textId="77777777" w:rsidTr="004274DB">
        <w:trPr>
          <w:trHeight w:val="334"/>
        </w:trPr>
        <w:tc>
          <w:tcPr>
            <w:tcW w:w="1355" w:type="dxa"/>
          </w:tcPr>
          <w:p w14:paraId="7FCB5FE5" w14:textId="77777777" w:rsidR="004274DB" w:rsidRPr="00381CCA" w:rsidRDefault="004274DB" w:rsidP="004274DB">
            <w:pPr>
              <w:pStyle w:val="PlainText"/>
              <w:rPr>
                <w:rFonts w:ascii="Times New Roman" w:hAnsi="Times New Roman" w:cs="Times New Roman"/>
                <w:bCs/>
              </w:rPr>
            </w:pPr>
            <w:r w:rsidRPr="00381CCA">
              <w:rPr>
                <w:rFonts w:ascii="Times New Roman" w:hAnsi="Times New Roman" w:cs="Times New Roman"/>
                <w:bCs/>
              </w:rPr>
              <w:t>Lamprey</w:t>
            </w:r>
          </w:p>
        </w:tc>
        <w:tc>
          <w:tcPr>
            <w:tcW w:w="2275" w:type="dxa"/>
          </w:tcPr>
          <w:p w14:paraId="382AD96A" w14:textId="037D792F" w:rsidR="004274DB" w:rsidRPr="00381CCA" w:rsidRDefault="00184D5F" w:rsidP="004274DB">
            <w:pPr>
              <w:pStyle w:val="PlainText"/>
              <w:rPr>
                <w:rFonts w:ascii="Times New Roman" w:hAnsi="Times New Roman" w:cs="Times New Roman"/>
                <w:bCs/>
              </w:rPr>
            </w:pPr>
            <w:r>
              <w:rPr>
                <w:rFonts w:ascii="Times New Roman" w:hAnsi="Times New Roman" w:cs="Times New Roman"/>
                <w:bCs/>
              </w:rPr>
              <w:t>38</w:t>
            </w:r>
          </w:p>
        </w:tc>
        <w:tc>
          <w:tcPr>
            <w:tcW w:w="2075" w:type="dxa"/>
          </w:tcPr>
          <w:p w14:paraId="5EE38FD9" w14:textId="77777777" w:rsidR="004274DB" w:rsidRPr="00381CCA" w:rsidRDefault="004274DB" w:rsidP="004274DB">
            <w:pPr>
              <w:pStyle w:val="PlainText"/>
              <w:rPr>
                <w:rFonts w:ascii="Times New Roman" w:hAnsi="Times New Roman" w:cs="Times New Roman"/>
                <w:bCs/>
              </w:rPr>
            </w:pPr>
            <w:r w:rsidRPr="00381CCA">
              <w:rPr>
                <w:rFonts w:ascii="Times New Roman" w:hAnsi="Times New Roman" w:cs="Times New Roman"/>
                <w:bCs/>
              </w:rPr>
              <w:t>35,458</w:t>
            </w:r>
          </w:p>
        </w:tc>
        <w:tc>
          <w:tcPr>
            <w:tcW w:w="2175" w:type="dxa"/>
          </w:tcPr>
          <w:p w14:paraId="5B125797" w14:textId="153EF56C" w:rsidR="004274DB" w:rsidRPr="00381CCA" w:rsidRDefault="00184D5F" w:rsidP="004274DB">
            <w:pPr>
              <w:pStyle w:val="PlainText"/>
              <w:rPr>
                <w:rFonts w:ascii="Times New Roman" w:hAnsi="Times New Roman" w:cs="Times New Roman"/>
                <w:bCs/>
              </w:rPr>
            </w:pPr>
            <w:r>
              <w:rPr>
                <w:rFonts w:ascii="Times New Roman" w:hAnsi="Times New Roman" w:cs="Times New Roman"/>
                <w:bCs/>
              </w:rPr>
              <w:t>&lt;.01</w:t>
            </w:r>
            <w:r w:rsidR="00666352">
              <w:rPr>
                <w:rFonts w:ascii="Times New Roman" w:hAnsi="Times New Roman" w:cs="Times New Roman"/>
                <w:bCs/>
              </w:rPr>
              <w:t>%</w:t>
            </w:r>
          </w:p>
        </w:tc>
      </w:tr>
    </w:tbl>
    <w:p w14:paraId="036961A3" w14:textId="77777777" w:rsidR="004274DB" w:rsidRPr="00381CCA" w:rsidRDefault="004274DB" w:rsidP="004274DB">
      <w:pPr>
        <w:pStyle w:val="PlainText"/>
        <w:rPr>
          <w:rFonts w:ascii="Times New Roman" w:hAnsi="Times New Roman" w:cs="Times New Roman"/>
          <w:b/>
        </w:rPr>
      </w:pPr>
    </w:p>
    <w:p w14:paraId="02A95258" w14:textId="300448AF" w:rsidR="00F842FF" w:rsidRDefault="00F842FF" w:rsidP="00D36001">
      <w:pPr>
        <w:pStyle w:val="FPP4"/>
        <w:numPr>
          <w:ilvl w:val="0"/>
          <w:numId w:val="3"/>
        </w:numPr>
        <w:spacing w:after="120"/>
        <w:rPr>
          <w:sz w:val="20"/>
          <w:szCs w:val="20"/>
        </w:rPr>
      </w:pPr>
      <w:r w:rsidRPr="00381CCA">
        <w:rPr>
          <w:sz w:val="20"/>
          <w:szCs w:val="20"/>
        </w:rPr>
        <w:t xml:space="preserve">Statement about the current year’s run (e.g., </w:t>
      </w:r>
      <w:proofErr w:type="gramStart"/>
      <w:r w:rsidRPr="00381CCA">
        <w:rPr>
          <w:sz w:val="20"/>
          <w:szCs w:val="20"/>
        </w:rPr>
        <w:t>higher</w:t>
      </w:r>
      <w:proofErr w:type="gramEnd"/>
      <w:r w:rsidRPr="00381CCA">
        <w:rPr>
          <w:sz w:val="20"/>
          <w:szCs w:val="20"/>
        </w:rPr>
        <w:t xml:space="preserve"> or lower than 10-year average);</w:t>
      </w:r>
      <w:r w:rsidR="00DA5098">
        <w:rPr>
          <w:sz w:val="20"/>
          <w:szCs w:val="20"/>
        </w:rPr>
        <w:br/>
      </w:r>
      <w:r w:rsidR="004274DB">
        <w:rPr>
          <w:sz w:val="20"/>
          <w:szCs w:val="20"/>
        </w:rPr>
        <w:br/>
      </w:r>
      <w:r w:rsidR="00DA5098">
        <w:rPr>
          <w:sz w:val="20"/>
          <w:szCs w:val="20"/>
        </w:rPr>
        <w:t>This work is unlikely to impact any major fish runs in this current year.</w:t>
      </w:r>
      <w:r w:rsidR="00666352">
        <w:rPr>
          <w:sz w:val="20"/>
          <w:szCs w:val="20"/>
        </w:rPr>
        <w:t xml:space="preserve"> All fish entrances will still be operational and all but PH1 south fishway entrance will be </w:t>
      </w:r>
      <w:r w:rsidR="00294AC5">
        <w:rPr>
          <w:sz w:val="20"/>
          <w:szCs w:val="20"/>
        </w:rPr>
        <w:t>provided attraction flow.</w:t>
      </w:r>
    </w:p>
    <w:p w14:paraId="02A2D754" w14:textId="77777777" w:rsidR="004419FA" w:rsidRDefault="00F842FF" w:rsidP="00D36001">
      <w:pPr>
        <w:pStyle w:val="FPP4"/>
        <w:numPr>
          <w:ilvl w:val="0"/>
          <w:numId w:val="3"/>
        </w:numPr>
        <w:spacing w:after="120"/>
        <w:rPr>
          <w:sz w:val="20"/>
          <w:szCs w:val="20"/>
        </w:rPr>
      </w:pPr>
      <w:r w:rsidRPr="00381CCA">
        <w:rPr>
          <w:sz w:val="20"/>
          <w:szCs w:val="20"/>
        </w:rPr>
        <w:t>Estimated exposure to impact by species and age class (i.e., number or percentage of run exposed to an impact by the action</w:t>
      </w:r>
      <w:proofErr w:type="gramStart"/>
      <w:r w:rsidRPr="00381CCA">
        <w:rPr>
          <w:sz w:val="20"/>
          <w:szCs w:val="20"/>
        </w:rPr>
        <w:t>);</w:t>
      </w:r>
      <w:proofErr w:type="gramEnd"/>
    </w:p>
    <w:p w14:paraId="3C2B6C7C" w14:textId="77777777" w:rsidR="004419FA" w:rsidRDefault="004419FA" w:rsidP="004419FA">
      <w:pPr>
        <w:pStyle w:val="ListParagraph"/>
        <w:rPr>
          <w:sz w:val="20"/>
          <w:szCs w:val="20"/>
        </w:rPr>
      </w:pPr>
    </w:p>
    <w:p w14:paraId="34C8BC0E" w14:textId="2C3F70C3" w:rsidR="00F842FF" w:rsidRPr="00381CCA" w:rsidRDefault="004419FA" w:rsidP="004419FA">
      <w:pPr>
        <w:pStyle w:val="FPP4"/>
        <w:spacing w:after="120"/>
        <w:rPr>
          <w:sz w:val="20"/>
          <w:szCs w:val="20"/>
        </w:rPr>
      </w:pPr>
      <w:r>
        <w:rPr>
          <w:sz w:val="20"/>
          <w:szCs w:val="20"/>
        </w:rPr>
        <w:t xml:space="preserve">During this work window &gt;95% of juvenile Chinook, Steelhead, Coho, and Sockeye passage </w:t>
      </w:r>
      <w:r w:rsidR="00AF464C">
        <w:rPr>
          <w:sz w:val="20"/>
          <w:szCs w:val="20"/>
        </w:rPr>
        <w:t>will have</w:t>
      </w:r>
      <w:r>
        <w:rPr>
          <w:sz w:val="20"/>
          <w:szCs w:val="20"/>
        </w:rPr>
        <w:t xml:space="preserve"> already occurred</w:t>
      </w:r>
      <w:r w:rsidR="00AF464C">
        <w:rPr>
          <w:sz w:val="20"/>
          <w:szCs w:val="20"/>
        </w:rPr>
        <w:t xml:space="preserve"> based on </w:t>
      </w:r>
      <w:r w:rsidR="00174353">
        <w:rPr>
          <w:sz w:val="20"/>
          <w:szCs w:val="20"/>
        </w:rPr>
        <w:t>25-year</w:t>
      </w:r>
      <w:r w:rsidR="00AF464C">
        <w:rPr>
          <w:sz w:val="20"/>
          <w:szCs w:val="20"/>
        </w:rPr>
        <w:t xml:space="preserve"> historical data.</w:t>
      </w:r>
      <w:r>
        <w:rPr>
          <w:sz w:val="20"/>
          <w:szCs w:val="20"/>
        </w:rPr>
        <w:t xml:space="preserve"> </w:t>
      </w:r>
      <w:r w:rsidR="00AF464C">
        <w:rPr>
          <w:b/>
          <w:bCs/>
          <w:sz w:val="20"/>
          <w:szCs w:val="20"/>
        </w:rPr>
        <w:t xml:space="preserve">Figure 1 </w:t>
      </w:r>
      <w:r w:rsidR="00AF464C">
        <w:rPr>
          <w:sz w:val="20"/>
          <w:szCs w:val="20"/>
        </w:rPr>
        <w:t xml:space="preserve">and </w:t>
      </w:r>
      <w:r w:rsidR="00AF464C">
        <w:rPr>
          <w:b/>
          <w:bCs/>
          <w:sz w:val="20"/>
          <w:szCs w:val="20"/>
        </w:rPr>
        <w:t xml:space="preserve">Figure 2 </w:t>
      </w:r>
      <w:r w:rsidR="00AF464C">
        <w:rPr>
          <w:sz w:val="20"/>
          <w:szCs w:val="20"/>
        </w:rPr>
        <w:t xml:space="preserve">represent yearling, and sub-yearling Chinook passage.  </w:t>
      </w:r>
      <w:r w:rsidR="00DA5098">
        <w:rPr>
          <w:sz w:val="20"/>
          <w:szCs w:val="20"/>
        </w:rPr>
        <w:br/>
      </w:r>
      <w:r w:rsidR="00DA5098">
        <w:rPr>
          <w:sz w:val="20"/>
          <w:szCs w:val="20"/>
        </w:rPr>
        <w:br/>
        <w:t xml:space="preserve">Please see “Expected impacts on fish passage”, </w:t>
      </w:r>
      <w:r w:rsidR="00DA5098" w:rsidRPr="00177F77">
        <w:rPr>
          <w:b/>
          <w:bCs/>
          <w:i/>
          <w:iCs/>
          <w:sz w:val="20"/>
          <w:szCs w:val="20"/>
        </w:rPr>
        <w:t>Table 1</w:t>
      </w:r>
      <w:r w:rsidR="00DA5098">
        <w:rPr>
          <w:sz w:val="20"/>
          <w:szCs w:val="20"/>
        </w:rPr>
        <w:t xml:space="preserve">, and </w:t>
      </w:r>
      <w:r w:rsidR="00DA5098" w:rsidRPr="00177F77">
        <w:rPr>
          <w:b/>
          <w:bCs/>
          <w:i/>
          <w:iCs/>
          <w:sz w:val="20"/>
          <w:szCs w:val="20"/>
        </w:rPr>
        <w:t>Figure 1</w:t>
      </w:r>
      <w:r w:rsidR="00DA5098">
        <w:rPr>
          <w:sz w:val="20"/>
          <w:szCs w:val="20"/>
        </w:rPr>
        <w:t>.</w:t>
      </w:r>
      <w:r w:rsidR="00DA5098">
        <w:rPr>
          <w:sz w:val="20"/>
          <w:szCs w:val="20"/>
        </w:rPr>
        <w:br/>
      </w:r>
    </w:p>
    <w:p w14:paraId="1122A511" w14:textId="77BA9FDC" w:rsidR="00F842FF" w:rsidRPr="00DA5098" w:rsidRDefault="00F842FF" w:rsidP="00B43BDE">
      <w:pPr>
        <w:pStyle w:val="FPP4"/>
        <w:numPr>
          <w:ilvl w:val="0"/>
          <w:numId w:val="3"/>
        </w:numPr>
        <w:spacing w:after="120"/>
        <w:rPr>
          <w:b/>
        </w:rPr>
      </w:pPr>
      <w:r w:rsidRPr="00DA5098">
        <w:rPr>
          <w:sz w:val="20"/>
          <w:szCs w:val="20"/>
        </w:rPr>
        <w:t>Type of impact by species and age class (increased delay, exposure to predation, exposure to a route of higher injury/mortality rate, exposure to higher TDG, etc.);</w:t>
      </w:r>
      <w:r w:rsidR="00DA5098">
        <w:rPr>
          <w:sz w:val="20"/>
          <w:szCs w:val="20"/>
        </w:rPr>
        <w:br/>
      </w:r>
      <w:r w:rsidR="00DA5098">
        <w:rPr>
          <w:sz w:val="20"/>
          <w:szCs w:val="20"/>
        </w:rPr>
        <w:br/>
      </w:r>
      <w:r w:rsidR="00DA5098" w:rsidRPr="00DA5098">
        <w:rPr>
          <w:sz w:val="20"/>
          <w:szCs w:val="20"/>
        </w:rPr>
        <w:t>There w</w:t>
      </w:r>
      <w:r w:rsidR="00294AC5">
        <w:rPr>
          <w:sz w:val="20"/>
          <w:szCs w:val="20"/>
        </w:rPr>
        <w:t>ill</w:t>
      </w:r>
      <w:r w:rsidR="00DA5098" w:rsidRPr="00DA5098">
        <w:rPr>
          <w:sz w:val="20"/>
          <w:szCs w:val="20"/>
        </w:rPr>
        <w:t xml:space="preserve"> be no downstream surface passage route at PH1 for the duration of the work and reduced attraction flow in the tailrace.  Without pull from the ITS, fewer juveniles than normal are expected to make their way into the PH1 forebay.  Juvenile fish that do make their way into the PH1 forebay could be delayed in passage and thus exposed to higher predation levels. Adult fish that use routes other than PH1 fishway entrances (PH2) are not expected to experience higher levels of sea lion predation</w:t>
      </w:r>
      <w:r w:rsidR="00177F77">
        <w:rPr>
          <w:b/>
        </w:rPr>
        <w:br/>
      </w:r>
    </w:p>
    <w:p w14:paraId="2AEE0B10" w14:textId="4A31CFC4" w:rsidR="00381CCA" w:rsidRPr="00381CCA" w:rsidRDefault="00F842FF" w:rsidP="00B43BDE">
      <w:pPr>
        <w:pStyle w:val="PlainText"/>
        <w:rPr>
          <w:rFonts w:ascii="Times New Roman" w:hAnsi="Times New Roman" w:cs="Times New Roman"/>
          <w:b/>
        </w:rPr>
      </w:pPr>
      <w:r w:rsidRPr="00381CCA">
        <w:rPr>
          <w:rFonts w:ascii="Times New Roman" w:hAnsi="Times New Roman" w:cs="Times New Roman"/>
          <w:b/>
        </w:rPr>
        <w:t>Summary statement - expected impacts on:</w:t>
      </w:r>
    </w:p>
    <w:p w14:paraId="6DB2AFF3" w14:textId="03F918D3" w:rsidR="006053FC" w:rsidRDefault="006053FC" w:rsidP="006053FC">
      <w:pPr>
        <w:pStyle w:val="PlainText"/>
        <w:rPr>
          <w:rFonts w:ascii="Times New Roman" w:hAnsi="Times New Roman" w:cs="Times New Roman"/>
          <w:i/>
          <w:iCs/>
        </w:rPr>
      </w:pPr>
      <w:r w:rsidRPr="00381CCA">
        <w:rPr>
          <w:rFonts w:ascii="Times New Roman" w:hAnsi="Times New Roman" w:cs="Times New Roman"/>
          <w:b/>
        </w:rPr>
        <w:t xml:space="preserve">Downstream migrants (including Lamprey) -- </w:t>
      </w:r>
      <w:r w:rsidRPr="00381CCA">
        <w:rPr>
          <w:rFonts w:ascii="Times New Roman" w:hAnsi="Times New Roman" w:cs="Times New Roman"/>
        </w:rPr>
        <w:t xml:space="preserve">Downstream passage through the ITS will not be available from </w:t>
      </w:r>
      <w:r w:rsidR="005C3A09">
        <w:rPr>
          <w:rFonts w:ascii="Times New Roman" w:hAnsi="Times New Roman" w:cs="Times New Roman"/>
        </w:rPr>
        <w:t>02</w:t>
      </w:r>
      <w:r w:rsidRPr="00381CCA">
        <w:rPr>
          <w:rFonts w:ascii="Times New Roman" w:hAnsi="Times New Roman" w:cs="Times New Roman"/>
        </w:rPr>
        <w:t xml:space="preserve"> </w:t>
      </w:r>
      <w:r w:rsidR="005C3A09">
        <w:rPr>
          <w:rFonts w:ascii="Times New Roman" w:hAnsi="Times New Roman" w:cs="Times New Roman"/>
        </w:rPr>
        <w:t>October</w:t>
      </w:r>
      <w:r w:rsidRPr="00381CCA">
        <w:rPr>
          <w:rFonts w:ascii="Times New Roman" w:hAnsi="Times New Roman" w:cs="Times New Roman"/>
        </w:rPr>
        <w:t xml:space="preserve"> -</w:t>
      </w:r>
      <w:r w:rsidR="005C3A09">
        <w:rPr>
          <w:rFonts w:ascii="Times New Roman" w:hAnsi="Times New Roman" w:cs="Times New Roman"/>
        </w:rPr>
        <w:t>23</w:t>
      </w:r>
      <w:r w:rsidRPr="00381CCA">
        <w:rPr>
          <w:rFonts w:ascii="Times New Roman" w:hAnsi="Times New Roman" w:cs="Times New Roman"/>
        </w:rPr>
        <w:t xml:space="preserve"> </w:t>
      </w:r>
      <w:r w:rsidR="005C3A09">
        <w:rPr>
          <w:rFonts w:ascii="Times New Roman" w:hAnsi="Times New Roman" w:cs="Times New Roman"/>
        </w:rPr>
        <w:t>October</w:t>
      </w:r>
      <w:r w:rsidR="000D7639" w:rsidRPr="00381CCA">
        <w:rPr>
          <w:rFonts w:ascii="Times New Roman" w:hAnsi="Times New Roman" w:cs="Times New Roman"/>
        </w:rPr>
        <w:t xml:space="preserve">. </w:t>
      </w:r>
      <w:r w:rsidR="00177F77">
        <w:rPr>
          <w:rFonts w:ascii="Times New Roman" w:hAnsi="Times New Roman" w:cs="Times New Roman"/>
        </w:rPr>
        <w:br/>
      </w:r>
      <w:r w:rsidR="00177F77">
        <w:rPr>
          <w:rFonts w:ascii="Times New Roman" w:hAnsi="Times New Roman" w:cs="Times New Roman"/>
        </w:rPr>
        <w:br/>
      </w:r>
      <w:r w:rsidRPr="00381CCA">
        <w:rPr>
          <w:rFonts w:ascii="Times New Roman" w:hAnsi="Times New Roman" w:cs="Times New Roman"/>
        </w:rPr>
        <w:t xml:space="preserve">According to the historic </w:t>
      </w:r>
      <w:r w:rsidR="00294AC5">
        <w:rPr>
          <w:rFonts w:ascii="Times New Roman" w:hAnsi="Times New Roman" w:cs="Times New Roman"/>
        </w:rPr>
        <w:t>25</w:t>
      </w:r>
      <w:r w:rsidRPr="00381CCA">
        <w:rPr>
          <w:rFonts w:ascii="Times New Roman" w:hAnsi="Times New Roman" w:cs="Times New Roman"/>
        </w:rPr>
        <w:t>-year average passage indexes for sub-yearling Chinook at Bonneville Dam (</w:t>
      </w:r>
      <w:r w:rsidR="00294AC5">
        <w:rPr>
          <w:rFonts w:ascii="Times New Roman" w:hAnsi="Times New Roman" w:cs="Times New Roman"/>
        </w:rPr>
        <w:t>1998</w:t>
      </w:r>
      <w:r w:rsidRPr="00381CCA">
        <w:rPr>
          <w:rFonts w:ascii="Times New Roman" w:hAnsi="Times New Roman" w:cs="Times New Roman"/>
        </w:rPr>
        <w:t>-202</w:t>
      </w:r>
      <w:r w:rsidR="00294AC5">
        <w:rPr>
          <w:rFonts w:ascii="Times New Roman" w:hAnsi="Times New Roman" w:cs="Times New Roman"/>
        </w:rPr>
        <w:t>2</w:t>
      </w:r>
      <w:r w:rsidRPr="00381CCA">
        <w:rPr>
          <w:rFonts w:ascii="Times New Roman" w:hAnsi="Times New Roman" w:cs="Times New Roman"/>
        </w:rPr>
        <w:t xml:space="preserve">), 95% of the run has passed by </w:t>
      </w:r>
      <w:r w:rsidR="005C3A09">
        <w:rPr>
          <w:rFonts w:ascii="Times New Roman" w:hAnsi="Times New Roman" w:cs="Times New Roman"/>
        </w:rPr>
        <w:t>10</w:t>
      </w:r>
      <w:r w:rsidR="000D7639" w:rsidRPr="00381CCA">
        <w:rPr>
          <w:rFonts w:ascii="Times New Roman" w:hAnsi="Times New Roman" w:cs="Times New Roman"/>
        </w:rPr>
        <w:t xml:space="preserve">/2 – </w:t>
      </w:r>
      <w:r w:rsidR="005C3A09">
        <w:rPr>
          <w:rFonts w:ascii="Times New Roman" w:hAnsi="Times New Roman" w:cs="Times New Roman"/>
        </w:rPr>
        <w:t>10</w:t>
      </w:r>
      <w:r w:rsidR="000D7639" w:rsidRPr="00381CCA">
        <w:rPr>
          <w:rFonts w:ascii="Times New Roman" w:hAnsi="Times New Roman" w:cs="Times New Roman"/>
        </w:rPr>
        <w:t>/</w:t>
      </w:r>
      <w:r w:rsidR="00294AC5">
        <w:rPr>
          <w:rFonts w:ascii="Times New Roman" w:hAnsi="Times New Roman" w:cs="Times New Roman"/>
        </w:rPr>
        <w:t>2</w:t>
      </w:r>
      <w:r w:rsidR="005C3A09">
        <w:rPr>
          <w:rFonts w:ascii="Times New Roman" w:hAnsi="Times New Roman" w:cs="Times New Roman"/>
        </w:rPr>
        <w:t>3</w:t>
      </w:r>
      <w:r w:rsidRPr="00381CCA">
        <w:rPr>
          <w:rFonts w:ascii="Times New Roman" w:hAnsi="Times New Roman" w:cs="Times New Roman"/>
        </w:rPr>
        <w:t xml:space="preserve"> (DART). With the outage occurring in</w:t>
      </w:r>
      <w:r w:rsidR="000D7639" w:rsidRPr="00381CCA">
        <w:rPr>
          <w:rFonts w:ascii="Times New Roman" w:hAnsi="Times New Roman" w:cs="Times New Roman"/>
        </w:rPr>
        <w:t xml:space="preserve"> </w:t>
      </w:r>
      <w:r w:rsidR="005C3A09">
        <w:rPr>
          <w:rFonts w:ascii="Times New Roman" w:hAnsi="Times New Roman" w:cs="Times New Roman"/>
        </w:rPr>
        <w:t>October</w:t>
      </w:r>
      <w:r w:rsidRPr="00381CCA">
        <w:rPr>
          <w:rFonts w:ascii="Times New Roman" w:hAnsi="Times New Roman" w:cs="Times New Roman"/>
        </w:rPr>
        <w:t xml:space="preserve">, the proportion of the run impacted </w:t>
      </w:r>
      <w:r w:rsidR="001B66DD" w:rsidRPr="00381CCA">
        <w:rPr>
          <w:rFonts w:ascii="Times New Roman" w:hAnsi="Times New Roman" w:cs="Times New Roman"/>
        </w:rPr>
        <w:t xml:space="preserve">should theoretically be </w:t>
      </w:r>
      <w:r w:rsidR="00294AC5">
        <w:rPr>
          <w:rFonts w:ascii="Times New Roman" w:hAnsi="Times New Roman" w:cs="Times New Roman"/>
        </w:rPr>
        <w:t>&lt;5</w:t>
      </w:r>
      <w:r w:rsidR="001B66DD" w:rsidRPr="00381CCA">
        <w:rPr>
          <w:rFonts w:ascii="Times New Roman" w:hAnsi="Times New Roman" w:cs="Times New Roman"/>
        </w:rPr>
        <w:t>%</w:t>
      </w:r>
      <w:r w:rsidR="00651218">
        <w:rPr>
          <w:rFonts w:ascii="Times New Roman" w:hAnsi="Times New Roman" w:cs="Times New Roman"/>
        </w:rPr>
        <w:t>. T</w:t>
      </w:r>
      <w:r w:rsidR="001B66DD" w:rsidRPr="00381CCA">
        <w:rPr>
          <w:rFonts w:ascii="Times New Roman" w:hAnsi="Times New Roman" w:cs="Times New Roman"/>
        </w:rPr>
        <w:t>he last juvenile salmonids out-migrating generally</w:t>
      </w:r>
      <w:r w:rsidR="00100FAF">
        <w:rPr>
          <w:rFonts w:ascii="Times New Roman" w:hAnsi="Times New Roman" w:cs="Times New Roman"/>
        </w:rPr>
        <w:t xml:space="preserve"> takes place in</w:t>
      </w:r>
      <w:r w:rsidR="001B66DD" w:rsidRPr="00381CCA">
        <w:rPr>
          <w:rFonts w:ascii="Times New Roman" w:hAnsi="Times New Roman" w:cs="Times New Roman"/>
        </w:rPr>
        <w:t xml:space="preserve"> late October according to DART. (</w:t>
      </w:r>
      <w:r w:rsidR="001B66DD" w:rsidRPr="00177F77">
        <w:rPr>
          <w:rFonts w:ascii="Times New Roman" w:hAnsi="Times New Roman" w:cs="Times New Roman"/>
          <w:b/>
          <w:bCs/>
          <w:i/>
          <w:iCs/>
        </w:rPr>
        <w:t>Fig</w:t>
      </w:r>
      <w:r w:rsidR="00177F77" w:rsidRPr="00177F77">
        <w:rPr>
          <w:rFonts w:ascii="Times New Roman" w:hAnsi="Times New Roman" w:cs="Times New Roman"/>
          <w:b/>
          <w:bCs/>
          <w:i/>
          <w:iCs/>
        </w:rPr>
        <w:t>ure</w:t>
      </w:r>
      <w:r w:rsidR="001B66DD" w:rsidRPr="00177F77">
        <w:rPr>
          <w:rFonts w:ascii="Times New Roman" w:hAnsi="Times New Roman" w:cs="Times New Roman"/>
          <w:b/>
          <w:bCs/>
          <w:i/>
          <w:iCs/>
        </w:rPr>
        <w:t xml:space="preserve"> 1</w:t>
      </w:r>
      <w:r w:rsidR="00294AC5">
        <w:rPr>
          <w:rFonts w:ascii="Times New Roman" w:hAnsi="Times New Roman" w:cs="Times New Roman"/>
          <w:b/>
          <w:bCs/>
          <w:i/>
          <w:iCs/>
        </w:rPr>
        <w:t>, Figure 2</w:t>
      </w:r>
      <w:r w:rsidR="001B66DD" w:rsidRPr="00381CCA">
        <w:rPr>
          <w:rFonts w:ascii="Times New Roman" w:hAnsi="Times New Roman" w:cs="Times New Roman"/>
          <w:i/>
          <w:iCs/>
        </w:rPr>
        <w:t>).</w:t>
      </w:r>
    </w:p>
    <w:p w14:paraId="40C7C11E" w14:textId="333F357B" w:rsidR="005C42FB" w:rsidRDefault="00A97D64" w:rsidP="00DA5098">
      <w:pPr>
        <w:pStyle w:val="PlainText"/>
        <w:rPr>
          <w:rFonts w:ascii="Times New Roman" w:hAnsi="Times New Roman" w:cs="Times New Roman"/>
          <w:b/>
        </w:rPr>
      </w:pPr>
      <w:r>
        <w:rPr>
          <w:noProof/>
        </w:rPr>
        <w:lastRenderedPageBreak/>
        <w:drawing>
          <wp:anchor distT="0" distB="0" distL="114300" distR="114300" simplePos="0" relativeHeight="251661312" behindDoc="0" locked="0" layoutInCell="1" allowOverlap="1" wp14:anchorId="6C722CBE" wp14:editId="0F7E1B2A">
            <wp:simplePos x="0" y="0"/>
            <wp:positionH relativeFrom="margin">
              <wp:align>right</wp:align>
            </wp:positionH>
            <wp:positionV relativeFrom="paragraph">
              <wp:posOffset>0</wp:posOffset>
            </wp:positionV>
            <wp:extent cx="5486400" cy="3500120"/>
            <wp:effectExtent l="0" t="0" r="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500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42FB" w:rsidRPr="00381CCA">
        <w:rPr>
          <w:rFonts w:ascii="Times New Roman" w:hAnsi="Times New Roman" w:cs="Times New Roman"/>
          <w:noProof/>
          <w:sz w:val="16"/>
          <w:szCs w:val="16"/>
        </w:rPr>
        <mc:AlternateContent>
          <mc:Choice Requires="wps">
            <w:drawing>
              <wp:anchor distT="0" distB="0" distL="114300" distR="114300" simplePos="0" relativeHeight="251660288" behindDoc="0" locked="0" layoutInCell="1" allowOverlap="1" wp14:anchorId="69FCB669" wp14:editId="74FC1F59">
                <wp:simplePos x="0" y="0"/>
                <wp:positionH relativeFrom="margin">
                  <wp:posOffset>113665</wp:posOffset>
                </wp:positionH>
                <wp:positionV relativeFrom="paragraph">
                  <wp:posOffset>3951605</wp:posOffset>
                </wp:positionV>
                <wp:extent cx="4238625" cy="323850"/>
                <wp:effectExtent l="0" t="0" r="9525" b="0"/>
                <wp:wrapTopAndBottom/>
                <wp:docPr id="2" name="Text Box 2"/>
                <wp:cNvGraphicFramePr/>
                <a:graphic xmlns:a="http://schemas.openxmlformats.org/drawingml/2006/main">
                  <a:graphicData uri="http://schemas.microsoft.com/office/word/2010/wordprocessingShape">
                    <wps:wsp>
                      <wps:cNvSpPr txBox="1"/>
                      <wps:spPr>
                        <a:xfrm>
                          <a:off x="0" y="0"/>
                          <a:ext cx="4238625" cy="323850"/>
                        </a:xfrm>
                        <a:prstGeom prst="rect">
                          <a:avLst/>
                        </a:prstGeom>
                        <a:solidFill>
                          <a:prstClr val="white"/>
                        </a:solidFill>
                        <a:ln>
                          <a:noFill/>
                        </a:ln>
                      </wps:spPr>
                      <wps:txbx>
                        <w:txbxContent>
                          <w:p w14:paraId="292F1A5E" w14:textId="74FC2801" w:rsidR="000D7639" w:rsidRPr="00B009AD" w:rsidRDefault="000D7639" w:rsidP="00A97D64">
                            <w:pPr>
                              <w:pStyle w:val="Caption"/>
                              <w:ind w:firstLine="720"/>
                              <w:rPr>
                                <w:b/>
                                <w:color w:val="auto"/>
                                <w:sz w:val="20"/>
                                <w:szCs w:val="20"/>
                              </w:rPr>
                            </w:pPr>
                            <w:r w:rsidRPr="00B009AD">
                              <w:rPr>
                                <w:b/>
                                <w:color w:val="auto"/>
                                <w:sz w:val="20"/>
                                <w:szCs w:val="20"/>
                              </w:rPr>
                              <w:t>Fig. 1.</w:t>
                            </w:r>
                            <w:r w:rsidR="00381CCA" w:rsidRPr="00B009AD">
                              <w:rPr>
                                <w:b/>
                                <w:color w:val="auto"/>
                                <w:sz w:val="20"/>
                                <w:szCs w:val="20"/>
                              </w:rPr>
                              <w:t xml:space="preserve"> </w:t>
                            </w:r>
                            <w:r w:rsidR="00381CCA" w:rsidRPr="00B009AD">
                              <w:rPr>
                                <w:bCs/>
                                <w:color w:val="auto"/>
                                <w:sz w:val="20"/>
                                <w:szCs w:val="20"/>
                              </w:rPr>
                              <w:t>Historical Run Timing for Yearling Chinook Smolt Index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CB669" id="_x0000_t202" coordsize="21600,21600" o:spt="202" path="m,l,21600r21600,l21600,xe">
                <v:stroke joinstyle="miter"/>
                <v:path gradientshapeok="t" o:connecttype="rect"/>
              </v:shapetype>
              <v:shape id="Text Box 2" o:spid="_x0000_s1026" type="#_x0000_t202" style="position:absolute;margin-left:8.95pt;margin-top:311.15pt;width:333.7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" stroked="f">
                <v:textbox inset="0,0,0,0">
                  <w:txbxContent>
                    <w:p w14:paraId="292F1A5E" w14:textId="74FC2801" w:rsidR="000D7639" w:rsidRPr="00B009AD" w:rsidRDefault="000D7639" w:rsidP="00A97D64">
                      <w:pPr>
                        <w:pStyle w:val="Caption"/>
                        <w:ind w:firstLine="720"/>
                        <w:rPr>
                          <w:b/>
                          <w:color w:val="auto"/>
                          <w:sz w:val="20"/>
                          <w:szCs w:val="20"/>
                        </w:rPr>
                      </w:pPr>
                      <w:r w:rsidRPr="00B009AD">
                        <w:rPr>
                          <w:b/>
                          <w:color w:val="auto"/>
                          <w:sz w:val="20"/>
                          <w:szCs w:val="20"/>
                        </w:rPr>
                        <w:t>Fig. 1.</w:t>
                      </w:r>
                      <w:r w:rsidR="00381CCA" w:rsidRPr="00B009AD">
                        <w:rPr>
                          <w:b/>
                          <w:color w:val="auto"/>
                          <w:sz w:val="20"/>
                          <w:szCs w:val="20"/>
                        </w:rPr>
                        <w:t xml:space="preserve"> </w:t>
                      </w:r>
                      <w:r w:rsidR="00381CCA" w:rsidRPr="00B009AD">
                        <w:rPr>
                          <w:bCs/>
                          <w:color w:val="auto"/>
                          <w:sz w:val="20"/>
                          <w:szCs w:val="20"/>
                        </w:rPr>
                        <w:t>Historical Run Timing for Yearling Chinook Smolt Index</w:t>
                      </w:r>
                    </w:p>
                  </w:txbxContent>
                </v:textbox>
                <w10:wrap type="topAndBottom" anchorx="margin"/>
              </v:shape>
            </w:pict>
          </mc:Fallback>
        </mc:AlternateContent>
      </w:r>
    </w:p>
    <w:p w14:paraId="60025D1A" w14:textId="4A9DC7E6" w:rsidR="005C42FB" w:rsidRDefault="005C42FB" w:rsidP="00DA5098">
      <w:pPr>
        <w:pStyle w:val="PlainText"/>
        <w:rPr>
          <w:rFonts w:ascii="Times New Roman" w:hAnsi="Times New Roman" w:cs="Times New Roman"/>
          <w:b/>
        </w:rPr>
      </w:pPr>
    </w:p>
    <w:p w14:paraId="190F86A4" w14:textId="220A8CD0" w:rsidR="00A97D64" w:rsidRDefault="00A97D64" w:rsidP="005C42FB">
      <w:pPr>
        <w:pStyle w:val="Caption"/>
        <w:rPr>
          <w:b/>
          <w:color w:val="auto"/>
          <w:sz w:val="20"/>
          <w:szCs w:val="20"/>
        </w:rPr>
      </w:pPr>
      <w:r>
        <w:rPr>
          <w:noProof/>
        </w:rPr>
        <w:drawing>
          <wp:anchor distT="0" distB="0" distL="114300" distR="114300" simplePos="0" relativeHeight="251662336" behindDoc="0" locked="0" layoutInCell="1" allowOverlap="1" wp14:anchorId="568D3237" wp14:editId="61654C71">
            <wp:simplePos x="0" y="0"/>
            <wp:positionH relativeFrom="margin">
              <wp:align>right</wp:align>
            </wp:positionH>
            <wp:positionV relativeFrom="paragraph">
              <wp:posOffset>342900</wp:posOffset>
            </wp:positionV>
            <wp:extent cx="5486400" cy="3542665"/>
            <wp:effectExtent l="0" t="0" r="0" b="63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542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97E9BD" w14:textId="150FC544" w:rsidR="005C42FB" w:rsidRPr="00B009AD" w:rsidRDefault="005C42FB" w:rsidP="00A97D64">
      <w:pPr>
        <w:pStyle w:val="Caption"/>
        <w:ind w:firstLine="720"/>
        <w:rPr>
          <w:b/>
          <w:color w:val="auto"/>
          <w:sz w:val="20"/>
          <w:szCs w:val="20"/>
        </w:rPr>
      </w:pPr>
      <w:r w:rsidRPr="00B009AD">
        <w:rPr>
          <w:b/>
          <w:color w:val="auto"/>
          <w:sz w:val="20"/>
          <w:szCs w:val="20"/>
        </w:rPr>
        <w:t xml:space="preserve">Fig. </w:t>
      </w:r>
      <w:r>
        <w:rPr>
          <w:b/>
          <w:color w:val="auto"/>
          <w:sz w:val="20"/>
          <w:szCs w:val="20"/>
        </w:rPr>
        <w:t>2</w:t>
      </w:r>
      <w:r w:rsidRPr="00B009AD">
        <w:rPr>
          <w:b/>
          <w:color w:val="auto"/>
          <w:sz w:val="20"/>
          <w:szCs w:val="20"/>
        </w:rPr>
        <w:t xml:space="preserve">. </w:t>
      </w:r>
      <w:r w:rsidRPr="00B009AD">
        <w:rPr>
          <w:bCs/>
          <w:color w:val="auto"/>
          <w:sz w:val="20"/>
          <w:szCs w:val="20"/>
        </w:rPr>
        <w:t xml:space="preserve">Historical Run Timing for </w:t>
      </w:r>
      <w:proofErr w:type="spellStart"/>
      <w:r>
        <w:rPr>
          <w:bCs/>
          <w:color w:val="auto"/>
          <w:sz w:val="20"/>
          <w:szCs w:val="20"/>
        </w:rPr>
        <w:t>Suby</w:t>
      </w:r>
      <w:r w:rsidRPr="00B009AD">
        <w:rPr>
          <w:bCs/>
          <w:color w:val="auto"/>
          <w:sz w:val="20"/>
          <w:szCs w:val="20"/>
        </w:rPr>
        <w:t>earling</w:t>
      </w:r>
      <w:proofErr w:type="spellEnd"/>
      <w:r w:rsidRPr="00B009AD">
        <w:rPr>
          <w:bCs/>
          <w:color w:val="auto"/>
          <w:sz w:val="20"/>
          <w:szCs w:val="20"/>
        </w:rPr>
        <w:t xml:space="preserve"> Chinook Smolt Index</w:t>
      </w:r>
    </w:p>
    <w:p w14:paraId="119380DD" w14:textId="62C3617E" w:rsidR="005C42FB" w:rsidRDefault="005C42FB" w:rsidP="00DA5098">
      <w:pPr>
        <w:pStyle w:val="PlainText"/>
        <w:rPr>
          <w:rFonts w:ascii="Times New Roman" w:hAnsi="Times New Roman" w:cs="Times New Roman"/>
          <w:b/>
        </w:rPr>
      </w:pPr>
    </w:p>
    <w:p w14:paraId="7C801C5A" w14:textId="77777777" w:rsidR="005C42FB" w:rsidRDefault="005C42FB" w:rsidP="00DA5098">
      <w:pPr>
        <w:pStyle w:val="PlainText"/>
        <w:rPr>
          <w:rFonts w:ascii="Times New Roman" w:hAnsi="Times New Roman" w:cs="Times New Roman"/>
          <w:b/>
        </w:rPr>
      </w:pPr>
    </w:p>
    <w:p w14:paraId="6C8CE930" w14:textId="0F854A58" w:rsidR="006053FC" w:rsidRPr="00DA5098" w:rsidRDefault="006053FC" w:rsidP="00DA5098">
      <w:pPr>
        <w:pStyle w:val="PlainText"/>
        <w:rPr>
          <w:rFonts w:ascii="Times New Roman" w:hAnsi="Times New Roman" w:cs="Times New Roman"/>
          <w:b/>
          <w:highlight w:val="yellow"/>
        </w:rPr>
      </w:pPr>
      <w:r w:rsidRPr="00381CCA">
        <w:rPr>
          <w:rFonts w:ascii="Times New Roman" w:hAnsi="Times New Roman" w:cs="Times New Roman"/>
          <w:b/>
        </w:rPr>
        <w:t xml:space="preserve">Upstream migrants (including Bull Trout) – </w:t>
      </w:r>
      <w:r w:rsidRPr="00381CCA">
        <w:rPr>
          <w:rFonts w:ascii="Times New Roman" w:hAnsi="Times New Roman" w:cs="Times New Roman"/>
          <w:bCs/>
        </w:rPr>
        <w:t xml:space="preserve">The upstream and downstream entrances of the </w:t>
      </w:r>
      <w:r w:rsidR="00381CCA">
        <w:rPr>
          <w:rFonts w:ascii="Times New Roman" w:hAnsi="Times New Roman" w:cs="Times New Roman"/>
          <w:bCs/>
        </w:rPr>
        <w:t>Powerhouse 1 Collection Channel (</w:t>
      </w:r>
      <w:r w:rsidRPr="00381CCA">
        <w:rPr>
          <w:rFonts w:ascii="Times New Roman" w:hAnsi="Times New Roman" w:cs="Times New Roman"/>
          <w:bCs/>
        </w:rPr>
        <w:t>PH1CC</w:t>
      </w:r>
      <w:r w:rsidR="00381CCA">
        <w:rPr>
          <w:rFonts w:ascii="Times New Roman" w:hAnsi="Times New Roman" w:cs="Times New Roman"/>
          <w:bCs/>
        </w:rPr>
        <w:t>)</w:t>
      </w:r>
      <w:r w:rsidRPr="00381CCA">
        <w:rPr>
          <w:rFonts w:ascii="Times New Roman" w:hAnsi="Times New Roman" w:cs="Times New Roman"/>
          <w:bCs/>
        </w:rPr>
        <w:t xml:space="preserve"> will remain open during the ITS closure. With the loss of attraction flow, some of the fish that would normally be attracted to PH1 passage routes will instead be attracted to PH2 routes.  The Sea Lion predation rate is thought to be similar between tailraces, so no increase predation is expected for fish that use routes other than PH.  </w:t>
      </w:r>
    </w:p>
    <w:p w14:paraId="74DACA0D" w14:textId="77777777" w:rsidR="006053FC" w:rsidRPr="00381CCA" w:rsidRDefault="006053FC" w:rsidP="006053FC">
      <w:pPr>
        <w:pStyle w:val="PlainText"/>
        <w:rPr>
          <w:rFonts w:ascii="Times New Roman" w:hAnsi="Times New Roman" w:cs="Times New Roman"/>
          <w:b/>
          <w:highlight w:val="yellow"/>
        </w:rPr>
      </w:pPr>
    </w:p>
    <w:p w14:paraId="0886390E" w14:textId="384063B3" w:rsidR="006053FC" w:rsidRPr="00381CCA" w:rsidRDefault="006053FC" w:rsidP="006053FC">
      <w:pPr>
        <w:pStyle w:val="PlainText"/>
        <w:rPr>
          <w:rFonts w:ascii="Times New Roman" w:hAnsi="Times New Roman" w:cs="Times New Roman"/>
          <w:b/>
        </w:rPr>
      </w:pPr>
      <w:r w:rsidRPr="00381CCA">
        <w:rPr>
          <w:rFonts w:ascii="Times New Roman" w:hAnsi="Times New Roman" w:cs="Times New Roman"/>
          <w:b/>
        </w:rPr>
        <w:t xml:space="preserve">Lamprey </w:t>
      </w:r>
      <w:r w:rsidRPr="00381CCA">
        <w:rPr>
          <w:rFonts w:ascii="Times New Roman" w:hAnsi="Times New Roman" w:cs="Times New Roman"/>
        </w:rPr>
        <w:t xml:space="preserve">This outage will occur </w:t>
      </w:r>
      <w:r w:rsidR="001B66DD" w:rsidRPr="00381CCA">
        <w:rPr>
          <w:rFonts w:ascii="Times New Roman" w:hAnsi="Times New Roman" w:cs="Times New Roman"/>
        </w:rPr>
        <w:t>after</w:t>
      </w:r>
      <w:r w:rsidRPr="00381CCA">
        <w:rPr>
          <w:rFonts w:ascii="Times New Roman" w:hAnsi="Times New Roman" w:cs="Times New Roman"/>
        </w:rPr>
        <w:t xml:space="preserve"> the end of the adult lamprey migration period. All ladder entrances and LPS systems </w:t>
      </w:r>
      <w:r w:rsidR="001B66DD" w:rsidRPr="00381CCA">
        <w:rPr>
          <w:rFonts w:ascii="Times New Roman" w:hAnsi="Times New Roman" w:cs="Times New Roman"/>
        </w:rPr>
        <w:t>will not</w:t>
      </w:r>
      <w:r w:rsidRPr="00381CCA">
        <w:rPr>
          <w:rFonts w:ascii="Times New Roman" w:hAnsi="Times New Roman" w:cs="Times New Roman"/>
        </w:rPr>
        <w:t xml:space="preserve"> be operating at the time of the ITS outage. </w:t>
      </w:r>
    </w:p>
    <w:p w14:paraId="43643433" w14:textId="2F955354" w:rsidR="006053FC" w:rsidRPr="00381CCA" w:rsidRDefault="006053FC" w:rsidP="00B43BDE">
      <w:pPr>
        <w:pStyle w:val="PlainText"/>
        <w:rPr>
          <w:rFonts w:ascii="Times New Roman" w:hAnsi="Times New Roman" w:cs="Times New Roman"/>
          <w:b/>
        </w:rPr>
      </w:pPr>
    </w:p>
    <w:p w14:paraId="04C5F3EF" w14:textId="1EF1FB87" w:rsidR="00F2390B" w:rsidRDefault="00F2390B" w:rsidP="00B43BDE">
      <w:pPr>
        <w:pStyle w:val="PlainText"/>
        <w:rPr>
          <w:rFonts w:ascii="Times New Roman" w:hAnsi="Times New Roman" w:cs="Times New Roman"/>
          <w:b/>
        </w:rPr>
      </w:pPr>
      <w:r w:rsidRPr="00381CCA">
        <w:rPr>
          <w:rFonts w:ascii="Times New Roman" w:hAnsi="Times New Roman" w:cs="Times New Roman"/>
          <w:b/>
        </w:rPr>
        <w:t>Comments from agencies</w:t>
      </w:r>
      <w:r w:rsidR="0014574A">
        <w:rPr>
          <w:rFonts w:ascii="Times New Roman" w:hAnsi="Times New Roman" w:cs="Times New Roman"/>
          <w:b/>
        </w:rPr>
        <w:t>:</w:t>
      </w:r>
    </w:p>
    <w:p w14:paraId="55C5C3B6" w14:textId="77777777" w:rsidR="0014574A" w:rsidRPr="00381CCA" w:rsidRDefault="0014574A" w:rsidP="00B43BDE">
      <w:pPr>
        <w:pStyle w:val="PlainText"/>
        <w:rPr>
          <w:rFonts w:ascii="Times New Roman" w:hAnsi="Times New Roman" w:cs="Times New Roman"/>
          <w:b/>
        </w:rPr>
      </w:pPr>
    </w:p>
    <w:p w14:paraId="392BD351" w14:textId="77777777" w:rsidR="00EB3991" w:rsidRPr="00381CCA" w:rsidRDefault="00EB3991" w:rsidP="00B43BDE">
      <w:pPr>
        <w:pStyle w:val="PlainText"/>
        <w:rPr>
          <w:rFonts w:ascii="Times New Roman" w:hAnsi="Times New Roman" w:cs="Times New Roman"/>
          <w:b/>
        </w:rPr>
      </w:pPr>
    </w:p>
    <w:p w14:paraId="6156ACCE" w14:textId="444B3EC9" w:rsidR="00EB3991" w:rsidRPr="00381CCA" w:rsidRDefault="00EB3991" w:rsidP="00B43BDE">
      <w:pPr>
        <w:pStyle w:val="PlainText"/>
        <w:rPr>
          <w:rFonts w:ascii="Times New Roman" w:hAnsi="Times New Roman" w:cs="Times New Roman"/>
          <w:b/>
        </w:rPr>
      </w:pPr>
      <w:r w:rsidRPr="00381CCA">
        <w:rPr>
          <w:rFonts w:ascii="Times New Roman" w:hAnsi="Times New Roman" w:cs="Times New Roman"/>
          <w:b/>
        </w:rPr>
        <w:t xml:space="preserve">Final </w:t>
      </w:r>
      <w:r w:rsidR="00AF756B" w:rsidRPr="00381CCA">
        <w:rPr>
          <w:rFonts w:ascii="Times New Roman" w:hAnsi="Times New Roman" w:cs="Times New Roman"/>
          <w:b/>
        </w:rPr>
        <w:t xml:space="preserve">coordination </w:t>
      </w:r>
      <w:r w:rsidRPr="00381CCA">
        <w:rPr>
          <w:rFonts w:ascii="Times New Roman" w:hAnsi="Times New Roman" w:cs="Times New Roman"/>
          <w:b/>
        </w:rPr>
        <w:t>results</w:t>
      </w:r>
      <w:r w:rsidR="0014574A">
        <w:rPr>
          <w:rFonts w:ascii="Times New Roman" w:hAnsi="Times New Roman" w:cs="Times New Roman"/>
          <w:b/>
        </w:rPr>
        <w:t>:</w:t>
      </w:r>
    </w:p>
    <w:p w14:paraId="793B480A" w14:textId="77777777" w:rsidR="00AF756B" w:rsidRPr="00381CCA" w:rsidRDefault="00AF756B" w:rsidP="009827E8">
      <w:pPr>
        <w:autoSpaceDE w:val="0"/>
        <w:autoSpaceDN w:val="0"/>
        <w:adjustRightInd w:val="0"/>
        <w:rPr>
          <w:b/>
          <w:sz w:val="20"/>
          <w:szCs w:val="20"/>
        </w:rPr>
      </w:pPr>
    </w:p>
    <w:p w14:paraId="7247AE47" w14:textId="77777777" w:rsidR="00AF756B" w:rsidRPr="00381CCA" w:rsidRDefault="00AF756B" w:rsidP="009827E8">
      <w:pPr>
        <w:autoSpaceDE w:val="0"/>
        <w:autoSpaceDN w:val="0"/>
        <w:adjustRightInd w:val="0"/>
        <w:rPr>
          <w:b/>
          <w:sz w:val="20"/>
          <w:szCs w:val="20"/>
        </w:rPr>
      </w:pPr>
    </w:p>
    <w:p w14:paraId="42F5C35E" w14:textId="30CB7E45" w:rsidR="009827E8" w:rsidRPr="00381CCA" w:rsidRDefault="00B11232" w:rsidP="009827E8">
      <w:pPr>
        <w:autoSpaceDE w:val="0"/>
        <w:autoSpaceDN w:val="0"/>
        <w:adjustRightInd w:val="0"/>
        <w:rPr>
          <w:sz w:val="20"/>
          <w:szCs w:val="20"/>
        </w:rPr>
      </w:pPr>
      <w:r w:rsidRPr="00381CCA">
        <w:rPr>
          <w:sz w:val="20"/>
          <w:szCs w:val="20"/>
        </w:rPr>
        <w:t>Please email or call with questions or concerns.</w:t>
      </w:r>
      <w:r w:rsidR="00DA5098">
        <w:rPr>
          <w:sz w:val="20"/>
          <w:szCs w:val="20"/>
        </w:rPr>
        <w:br/>
      </w:r>
    </w:p>
    <w:p w14:paraId="6954C470" w14:textId="470999AE" w:rsidR="00B11232" w:rsidRDefault="00B11232" w:rsidP="009827E8">
      <w:pPr>
        <w:autoSpaceDE w:val="0"/>
        <w:autoSpaceDN w:val="0"/>
        <w:adjustRightInd w:val="0"/>
        <w:rPr>
          <w:sz w:val="20"/>
          <w:szCs w:val="20"/>
        </w:rPr>
      </w:pPr>
      <w:bookmarkStart w:id="1" w:name="_Hlk124340869"/>
      <w:r w:rsidRPr="00381CCA">
        <w:rPr>
          <w:sz w:val="20"/>
          <w:szCs w:val="20"/>
        </w:rPr>
        <w:t xml:space="preserve">Thank you, </w:t>
      </w:r>
    </w:p>
    <w:p w14:paraId="501BF1BB" w14:textId="5B7E92B1" w:rsidR="00DA5098" w:rsidRDefault="00F32487" w:rsidP="009827E8">
      <w:pPr>
        <w:autoSpaceDE w:val="0"/>
        <w:autoSpaceDN w:val="0"/>
        <w:adjustRightInd w:val="0"/>
        <w:rPr>
          <w:sz w:val="20"/>
          <w:szCs w:val="20"/>
        </w:rPr>
      </w:pPr>
      <w:r>
        <w:rPr>
          <w:sz w:val="20"/>
          <w:szCs w:val="20"/>
        </w:rPr>
        <w:t>Tammy Mackey</w:t>
      </w:r>
    </w:p>
    <w:p w14:paraId="53656CA8" w14:textId="49596978" w:rsidR="002B1997" w:rsidRDefault="002B1997" w:rsidP="009827E8">
      <w:pPr>
        <w:autoSpaceDE w:val="0"/>
        <w:autoSpaceDN w:val="0"/>
        <w:adjustRightInd w:val="0"/>
        <w:rPr>
          <w:sz w:val="20"/>
          <w:szCs w:val="20"/>
        </w:rPr>
      </w:pPr>
      <w:r>
        <w:rPr>
          <w:sz w:val="20"/>
          <w:szCs w:val="20"/>
        </w:rPr>
        <w:t>Columbia River Coordinator</w:t>
      </w:r>
    </w:p>
    <w:p w14:paraId="062FEB4D" w14:textId="35D29441" w:rsidR="002B1997" w:rsidRDefault="002B1997" w:rsidP="009827E8">
      <w:pPr>
        <w:autoSpaceDE w:val="0"/>
        <w:autoSpaceDN w:val="0"/>
        <w:adjustRightInd w:val="0"/>
        <w:rPr>
          <w:sz w:val="20"/>
          <w:szCs w:val="20"/>
        </w:rPr>
      </w:pPr>
      <w:r>
        <w:rPr>
          <w:sz w:val="20"/>
          <w:szCs w:val="20"/>
        </w:rPr>
        <w:t>503-961-5733</w:t>
      </w:r>
    </w:p>
    <w:p w14:paraId="6A8E5681" w14:textId="33A2BC17" w:rsidR="002B1997" w:rsidRPr="00381CCA" w:rsidRDefault="002B1997" w:rsidP="009827E8">
      <w:pPr>
        <w:autoSpaceDE w:val="0"/>
        <w:autoSpaceDN w:val="0"/>
        <w:adjustRightInd w:val="0"/>
        <w:rPr>
          <w:sz w:val="20"/>
          <w:szCs w:val="20"/>
        </w:rPr>
      </w:pPr>
      <w:r>
        <w:rPr>
          <w:sz w:val="20"/>
          <w:szCs w:val="20"/>
        </w:rPr>
        <w:t>Tammy.m.mackey@usace.army.mil</w:t>
      </w:r>
      <w:bookmarkEnd w:id="1"/>
    </w:p>
    <w:sectPr w:rsidR="002B1997" w:rsidRPr="00381C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C6F21"/>
    <w:multiLevelType w:val="hybridMultilevel"/>
    <w:tmpl w:val="302A1258"/>
    <w:lvl w:ilvl="0" w:tplc="0B147F64">
      <w:start w:val="1"/>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23A76"/>
    <w:rsid w:val="000B14E6"/>
    <w:rsid w:val="000D0353"/>
    <w:rsid w:val="000D7639"/>
    <w:rsid w:val="000E317F"/>
    <w:rsid w:val="000F4D28"/>
    <w:rsid w:val="00100FAF"/>
    <w:rsid w:val="0014574A"/>
    <w:rsid w:val="00174353"/>
    <w:rsid w:val="00176B9B"/>
    <w:rsid w:val="00177F77"/>
    <w:rsid w:val="00184D5F"/>
    <w:rsid w:val="001B66DD"/>
    <w:rsid w:val="001C5FF1"/>
    <w:rsid w:val="001D5229"/>
    <w:rsid w:val="00207DB8"/>
    <w:rsid w:val="0025287F"/>
    <w:rsid w:val="00262966"/>
    <w:rsid w:val="00294AC5"/>
    <w:rsid w:val="002A22B6"/>
    <w:rsid w:val="002B1997"/>
    <w:rsid w:val="002B6E92"/>
    <w:rsid w:val="002D36D9"/>
    <w:rsid w:val="00330BFE"/>
    <w:rsid w:val="00361794"/>
    <w:rsid w:val="00381CCA"/>
    <w:rsid w:val="00387212"/>
    <w:rsid w:val="003A6E3B"/>
    <w:rsid w:val="003B1836"/>
    <w:rsid w:val="003B5413"/>
    <w:rsid w:val="003E7488"/>
    <w:rsid w:val="004274DB"/>
    <w:rsid w:val="004419FA"/>
    <w:rsid w:val="0049216A"/>
    <w:rsid w:val="004D06CB"/>
    <w:rsid w:val="004E4556"/>
    <w:rsid w:val="00513FEE"/>
    <w:rsid w:val="00523234"/>
    <w:rsid w:val="0054105C"/>
    <w:rsid w:val="00545ACE"/>
    <w:rsid w:val="005C3A09"/>
    <w:rsid w:val="005C42FB"/>
    <w:rsid w:val="005C439A"/>
    <w:rsid w:val="006053FC"/>
    <w:rsid w:val="0064042C"/>
    <w:rsid w:val="00650248"/>
    <w:rsid w:val="00650AFF"/>
    <w:rsid w:val="00651218"/>
    <w:rsid w:val="00666352"/>
    <w:rsid w:val="006B170F"/>
    <w:rsid w:val="006E6DEA"/>
    <w:rsid w:val="007026F7"/>
    <w:rsid w:val="0078646D"/>
    <w:rsid w:val="007B6532"/>
    <w:rsid w:val="007C04F4"/>
    <w:rsid w:val="007D50AD"/>
    <w:rsid w:val="00890DC7"/>
    <w:rsid w:val="00933EB6"/>
    <w:rsid w:val="0094428B"/>
    <w:rsid w:val="0097000B"/>
    <w:rsid w:val="009827E8"/>
    <w:rsid w:val="0098360E"/>
    <w:rsid w:val="0099716B"/>
    <w:rsid w:val="00A769FA"/>
    <w:rsid w:val="00A97D64"/>
    <w:rsid w:val="00AC467D"/>
    <w:rsid w:val="00AE678B"/>
    <w:rsid w:val="00AE6E4C"/>
    <w:rsid w:val="00AF464C"/>
    <w:rsid w:val="00AF756B"/>
    <w:rsid w:val="00B009AD"/>
    <w:rsid w:val="00B11232"/>
    <w:rsid w:val="00B4247A"/>
    <w:rsid w:val="00B43BDE"/>
    <w:rsid w:val="00B83661"/>
    <w:rsid w:val="00B86248"/>
    <w:rsid w:val="00B94AF9"/>
    <w:rsid w:val="00BD19AC"/>
    <w:rsid w:val="00BE5955"/>
    <w:rsid w:val="00C30335"/>
    <w:rsid w:val="00C54EED"/>
    <w:rsid w:val="00C67FA5"/>
    <w:rsid w:val="00C8104A"/>
    <w:rsid w:val="00CA1C1D"/>
    <w:rsid w:val="00CA1E37"/>
    <w:rsid w:val="00CB35E9"/>
    <w:rsid w:val="00CF019A"/>
    <w:rsid w:val="00D03825"/>
    <w:rsid w:val="00D11A5C"/>
    <w:rsid w:val="00D26B19"/>
    <w:rsid w:val="00D27C6B"/>
    <w:rsid w:val="00D36001"/>
    <w:rsid w:val="00D91EC9"/>
    <w:rsid w:val="00DA250C"/>
    <w:rsid w:val="00DA5098"/>
    <w:rsid w:val="00DB3933"/>
    <w:rsid w:val="00E948B1"/>
    <w:rsid w:val="00EB3991"/>
    <w:rsid w:val="00EE2721"/>
    <w:rsid w:val="00F2390B"/>
    <w:rsid w:val="00F27FC1"/>
    <w:rsid w:val="00F32487"/>
    <w:rsid w:val="00F339DF"/>
    <w:rsid w:val="00F6261B"/>
    <w:rsid w:val="00F842FF"/>
    <w:rsid w:val="00FB760A"/>
    <w:rsid w:val="00FC356C"/>
    <w:rsid w:val="00FC586D"/>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6823C"/>
  <w15:chartTrackingRefBased/>
  <w15:docId w15:val="{23B2DB95-5919-4BD7-8FD2-F1D607D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character" w:customStyle="1" w:styleId="PlainTextChar">
    <w:name w:val="Plain Text Char"/>
    <w:link w:val="PlainText"/>
    <w:uiPriority w:val="99"/>
    <w:rsid w:val="00B86248"/>
    <w:rPr>
      <w:rFonts w:ascii="Courier New" w:hAnsi="Courier New" w:cs="Courier New"/>
    </w:rPr>
  </w:style>
  <w:style w:type="paragraph" w:styleId="BalloonText">
    <w:name w:val="Balloon Text"/>
    <w:basedOn w:val="Normal"/>
    <w:link w:val="BalloonTextChar"/>
    <w:rsid w:val="003A6E3B"/>
    <w:rPr>
      <w:rFonts w:ascii="Segoe UI" w:hAnsi="Segoe UI" w:cs="Segoe UI"/>
      <w:sz w:val="18"/>
      <w:szCs w:val="18"/>
    </w:rPr>
  </w:style>
  <w:style w:type="character" w:customStyle="1" w:styleId="BalloonTextChar">
    <w:name w:val="Balloon Text Char"/>
    <w:link w:val="BalloonText"/>
    <w:rsid w:val="003A6E3B"/>
    <w:rPr>
      <w:rFonts w:ascii="Segoe UI" w:hAnsi="Segoe UI" w:cs="Segoe UI"/>
      <w:sz w:val="18"/>
      <w:szCs w:val="18"/>
    </w:rPr>
  </w:style>
  <w:style w:type="paragraph" w:customStyle="1" w:styleId="Default">
    <w:name w:val="Default"/>
    <w:rsid w:val="00023A76"/>
    <w:pPr>
      <w:autoSpaceDE w:val="0"/>
      <w:autoSpaceDN w:val="0"/>
      <w:adjustRightInd w:val="0"/>
    </w:pPr>
    <w:rPr>
      <w:color w:val="000000"/>
      <w:sz w:val="24"/>
      <w:szCs w:val="24"/>
    </w:rPr>
  </w:style>
  <w:style w:type="paragraph" w:styleId="Caption">
    <w:name w:val="caption"/>
    <w:basedOn w:val="Normal"/>
    <w:next w:val="Normal"/>
    <w:unhideWhenUsed/>
    <w:qFormat/>
    <w:rsid w:val="000D7639"/>
    <w:pPr>
      <w:spacing w:after="200"/>
    </w:pPr>
    <w:rPr>
      <w:i/>
      <w:iCs/>
      <w:color w:val="44546A" w:themeColor="text2"/>
      <w:sz w:val="18"/>
      <w:szCs w:val="18"/>
    </w:rPr>
  </w:style>
  <w:style w:type="table" w:styleId="TableGrid">
    <w:name w:val="Table Grid"/>
    <w:basedOn w:val="TableNormal"/>
    <w:rsid w:val="00EE2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9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Mackey, Tammy M CIV USARMY CENWP (USA)</cp:lastModifiedBy>
  <cp:revision>2</cp:revision>
  <dcterms:created xsi:type="dcterms:W3CDTF">2023-01-11T22:51:00Z</dcterms:created>
  <dcterms:modified xsi:type="dcterms:W3CDTF">2023-01-11T22:51:00Z</dcterms:modified>
</cp:coreProperties>
</file>